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42BB9" w14:textId="7BE18A32" w:rsidR="00E632CB" w:rsidRDefault="00AF25F9" w:rsidP="00CE00E0">
      <w:pPr>
        <w:spacing w:line="480" w:lineRule="auto"/>
        <w:jc w:val="center"/>
        <w:rPr>
          <w:b/>
          <w:bCs/>
        </w:rPr>
      </w:pPr>
      <w:bookmarkStart w:id="0" w:name="_GoBack"/>
      <w:bookmarkEnd w:id="0"/>
      <w:r w:rsidRPr="00AF25F9">
        <w:rPr>
          <w:b/>
          <w:bCs/>
        </w:rPr>
        <w:t>The</w:t>
      </w:r>
      <w:r w:rsidRPr="00FA7F88">
        <w:rPr>
          <w:b/>
          <w:bCs/>
        </w:rPr>
        <w:t xml:space="preserve"> </w:t>
      </w:r>
      <w:r w:rsidR="00144ADD">
        <w:rPr>
          <w:b/>
          <w:bCs/>
        </w:rPr>
        <w:t>Socio-</w:t>
      </w:r>
      <w:r w:rsidR="00DB6BC2">
        <w:rPr>
          <w:b/>
          <w:bCs/>
        </w:rPr>
        <w:t>C</w:t>
      </w:r>
      <w:r w:rsidR="00144ADD">
        <w:rPr>
          <w:b/>
          <w:bCs/>
        </w:rPr>
        <w:t xml:space="preserve">ultural </w:t>
      </w:r>
      <w:r w:rsidRPr="00AF25F9">
        <w:rPr>
          <w:b/>
          <w:bCs/>
        </w:rPr>
        <w:t>S</w:t>
      </w:r>
      <w:r w:rsidRPr="00FA7F88">
        <w:rPr>
          <w:b/>
          <w:bCs/>
        </w:rPr>
        <w:t xml:space="preserve">ignificance of </w:t>
      </w:r>
      <w:r w:rsidRPr="00AF25F9">
        <w:rPr>
          <w:b/>
          <w:bCs/>
        </w:rPr>
        <w:t>Mineral Licks</w:t>
      </w:r>
      <w:r w:rsidRPr="00FA7F88">
        <w:rPr>
          <w:b/>
          <w:bCs/>
        </w:rPr>
        <w:t xml:space="preserve"> to the </w:t>
      </w:r>
      <w:proofErr w:type="spellStart"/>
      <w:r w:rsidRPr="00FA7F88">
        <w:rPr>
          <w:b/>
          <w:bCs/>
        </w:rPr>
        <w:t>Maijuna</w:t>
      </w:r>
      <w:proofErr w:type="spellEnd"/>
      <w:r w:rsidRPr="00AF25F9">
        <w:rPr>
          <w:b/>
          <w:bCs/>
        </w:rPr>
        <w:t xml:space="preserve"> of the Peruvian Amazon</w:t>
      </w:r>
      <w:r w:rsidR="00F74029">
        <w:rPr>
          <w:b/>
          <w:bCs/>
        </w:rPr>
        <w:t>:</w:t>
      </w:r>
      <w:r w:rsidR="00ED6A25">
        <w:rPr>
          <w:b/>
          <w:bCs/>
        </w:rPr>
        <w:t xml:space="preserve"> Implications for </w:t>
      </w:r>
      <w:r w:rsidR="00170CCE">
        <w:rPr>
          <w:b/>
          <w:bCs/>
        </w:rPr>
        <w:t xml:space="preserve">the </w:t>
      </w:r>
      <w:r w:rsidR="00D50A0D">
        <w:rPr>
          <w:b/>
          <w:bCs/>
        </w:rPr>
        <w:t>Sustainable Management</w:t>
      </w:r>
      <w:r w:rsidR="00170CCE">
        <w:rPr>
          <w:b/>
          <w:bCs/>
        </w:rPr>
        <w:t xml:space="preserve"> of Hunting</w:t>
      </w:r>
    </w:p>
    <w:p w14:paraId="08ACCE8F" w14:textId="7FF96C7E" w:rsidR="005278EF" w:rsidRDefault="005278EF" w:rsidP="00CE00E0">
      <w:pPr>
        <w:spacing w:line="480" w:lineRule="auto"/>
        <w:jc w:val="center"/>
        <w:rPr>
          <w:b/>
          <w:bCs/>
        </w:rPr>
      </w:pPr>
    </w:p>
    <w:p w14:paraId="1EC41D3B" w14:textId="28DE3862" w:rsidR="00356BA4" w:rsidRPr="005F71BD" w:rsidRDefault="00356BA4" w:rsidP="00CE00E0">
      <w:pPr>
        <w:spacing w:line="480" w:lineRule="auto"/>
        <w:jc w:val="center"/>
      </w:pPr>
      <w:r w:rsidRPr="005F71BD">
        <w:t>Michael P. Gilmore</w:t>
      </w:r>
      <w:r w:rsidRPr="005F71BD">
        <w:rPr>
          <w:vertAlign w:val="superscript"/>
        </w:rPr>
        <w:t>1*</w:t>
      </w:r>
      <w:r w:rsidRPr="005F71BD">
        <w:t xml:space="preserve">, Brian </w:t>
      </w:r>
      <w:r w:rsidR="005D5A47">
        <w:t xml:space="preserve">M. </w:t>
      </w:r>
      <w:r w:rsidRPr="005F71BD">
        <w:t>Griffiths</w:t>
      </w:r>
      <w:r w:rsidRPr="005F71BD">
        <w:rPr>
          <w:vertAlign w:val="superscript"/>
        </w:rPr>
        <w:t>2</w:t>
      </w:r>
      <w:r w:rsidRPr="005F71BD">
        <w:t xml:space="preserve"> and Mark Bowler</w:t>
      </w:r>
      <w:r w:rsidRPr="005F71BD">
        <w:rPr>
          <w:vertAlign w:val="superscript"/>
        </w:rPr>
        <w:t>3</w:t>
      </w:r>
      <w:r w:rsidR="003A2522" w:rsidRPr="005F71BD">
        <w:rPr>
          <w:vertAlign w:val="superscript"/>
        </w:rPr>
        <w:t>, 4, 5</w:t>
      </w:r>
    </w:p>
    <w:p w14:paraId="28CD9399" w14:textId="49236195" w:rsidR="00E632CB" w:rsidRPr="005F71BD" w:rsidRDefault="00E632CB" w:rsidP="00CE00E0">
      <w:pPr>
        <w:spacing w:line="480" w:lineRule="auto"/>
        <w:jc w:val="center"/>
        <w:rPr>
          <w:b/>
          <w:bCs/>
        </w:rPr>
      </w:pPr>
    </w:p>
    <w:p w14:paraId="6D637DEC" w14:textId="4912ACCC" w:rsidR="001F4C21" w:rsidRPr="005F71BD" w:rsidRDefault="001F4C21" w:rsidP="00CE00E0">
      <w:pPr>
        <w:spacing w:line="480" w:lineRule="auto"/>
        <w:jc w:val="center"/>
      </w:pPr>
      <w:r w:rsidRPr="005F71BD">
        <w:rPr>
          <w:vertAlign w:val="superscript"/>
        </w:rPr>
        <w:t>1</w:t>
      </w:r>
      <w:r w:rsidRPr="005F71BD">
        <w:t>School of Integrative Studies, George Mason University, 4400 University Drive, Fairfax, VA 22030, USA</w:t>
      </w:r>
    </w:p>
    <w:p w14:paraId="5FCC3CD5" w14:textId="39469DCE" w:rsidR="008B77A2" w:rsidRPr="005F71BD" w:rsidRDefault="008B77A2" w:rsidP="00CE00E0">
      <w:pPr>
        <w:spacing w:line="480" w:lineRule="auto"/>
        <w:jc w:val="center"/>
      </w:pPr>
    </w:p>
    <w:p w14:paraId="67395590" w14:textId="5E6B144E" w:rsidR="00817169" w:rsidRPr="005F71BD" w:rsidRDefault="00817169" w:rsidP="00CE00E0">
      <w:pPr>
        <w:spacing w:line="480" w:lineRule="auto"/>
        <w:jc w:val="center"/>
      </w:pPr>
      <w:r w:rsidRPr="005F71BD">
        <w:rPr>
          <w:vertAlign w:val="superscript"/>
        </w:rPr>
        <w:t>2</w:t>
      </w:r>
      <w:r w:rsidRPr="005F71BD">
        <w:t>Environmental Science and Policy, George Mason University, 4400 University Drive, Fairfax, VA 22030, USA</w:t>
      </w:r>
    </w:p>
    <w:p w14:paraId="6520CD49" w14:textId="4CF6CA47" w:rsidR="008B77A2" w:rsidRPr="005F71BD" w:rsidRDefault="008B77A2" w:rsidP="00CE00E0">
      <w:pPr>
        <w:spacing w:line="480" w:lineRule="auto"/>
        <w:jc w:val="center"/>
      </w:pPr>
    </w:p>
    <w:p w14:paraId="32BAECBF" w14:textId="7FF0B7DD" w:rsidR="00817169" w:rsidRPr="005F71BD" w:rsidRDefault="00817169" w:rsidP="00CE00E0">
      <w:pPr>
        <w:spacing w:line="480" w:lineRule="auto"/>
        <w:jc w:val="center"/>
      </w:pPr>
      <w:r w:rsidRPr="005F71BD">
        <w:rPr>
          <w:vertAlign w:val="superscript"/>
        </w:rPr>
        <w:t>3</w:t>
      </w:r>
      <w:r w:rsidR="00F86EB4" w:rsidRPr="005F71BD">
        <w:t>School of Engineering, Arts, Science and Technology Science, University of Suffolk, Waterfront Building, Neptune Quay, Ipswich, IP4 1QJ, UK</w:t>
      </w:r>
    </w:p>
    <w:p w14:paraId="50CA949E" w14:textId="06B44AA4" w:rsidR="00F86EB4" w:rsidRPr="005F71BD" w:rsidRDefault="00F86EB4" w:rsidP="00CE00E0">
      <w:pPr>
        <w:spacing w:line="480" w:lineRule="auto"/>
        <w:jc w:val="center"/>
      </w:pPr>
    </w:p>
    <w:p w14:paraId="4DA035DE" w14:textId="68F48335" w:rsidR="00F86EB4" w:rsidRPr="005F71BD" w:rsidRDefault="00F86EB4" w:rsidP="00CE00E0">
      <w:pPr>
        <w:spacing w:line="480" w:lineRule="auto"/>
        <w:jc w:val="center"/>
      </w:pPr>
      <w:r w:rsidRPr="005F71BD">
        <w:rPr>
          <w:vertAlign w:val="superscript"/>
        </w:rPr>
        <w:t>4</w:t>
      </w:r>
      <w:r w:rsidRPr="005F71BD">
        <w:t>Institute for Conservation Research, San Diego Zoo Global, Escondido, California, CA 92027-9614</w:t>
      </w:r>
      <w:r w:rsidR="00E43F6A" w:rsidRPr="005F71BD">
        <w:t>, USA</w:t>
      </w:r>
    </w:p>
    <w:p w14:paraId="5F3636B5" w14:textId="3DDDAE12" w:rsidR="00F86EB4" w:rsidRPr="005F71BD" w:rsidRDefault="00F86EB4" w:rsidP="00CE00E0">
      <w:pPr>
        <w:spacing w:line="480" w:lineRule="auto"/>
        <w:jc w:val="center"/>
      </w:pPr>
    </w:p>
    <w:p w14:paraId="7C6BCD17" w14:textId="280A78CC" w:rsidR="00F86EB4" w:rsidRPr="005F71BD" w:rsidRDefault="00F86EB4" w:rsidP="00CE00E0">
      <w:pPr>
        <w:spacing w:line="480" w:lineRule="auto"/>
        <w:jc w:val="center"/>
      </w:pPr>
      <w:r w:rsidRPr="005F71BD">
        <w:rPr>
          <w:vertAlign w:val="superscript"/>
        </w:rPr>
        <w:t>5</w:t>
      </w:r>
      <w:r w:rsidR="002E3EA0" w:rsidRPr="005F71BD">
        <w:t>Suffolk Sustainability Institute, Waterfront Building, Neptune Quay, Ipswich, IP4 1QJ, UK</w:t>
      </w:r>
    </w:p>
    <w:p w14:paraId="59C37D7D" w14:textId="3BB21A59" w:rsidR="008B77A2" w:rsidRPr="005F71BD" w:rsidRDefault="008B77A2" w:rsidP="00CE00E0">
      <w:pPr>
        <w:spacing w:line="480" w:lineRule="auto"/>
        <w:jc w:val="center"/>
      </w:pPr>
    </w:p>
    <w:p w14:paraId="3AA99E6D" w14:textId="21E61FFD" w:rsidR="008B77A2" w:rsidRPr="005F71BD" w:rsidRDefault="008B77A2" w:rsidP="00CE00E0">
      <w:pPr>
        <w:spacing w:line="480" w:lineRule="auto"/>
        <w:jc w:val="center"/>
      </w:pPr>
      <w:r w:rsidRPr="005F71BD">
        <w:t>*Correspondence: mgilmor1@gmu.edu</w:t>
      </w:r>
    </w:p>
    <w:p w14:paraId="300BA0C5" w14:textId="77777777" w:rsidR="001F4C21" w:rsidRPr="005F71BD" w:rsidRDefault="001F4C21" w:rsidP="00CE00E0">
      <w:pPr>
        <w:spacing w:line="480" w:lineRule="auto"/>
      </w:pPr>
    </w:p>
    <w:p w14:paraId="1A90ED12" w14:textId="77777777" w:rsidR="00610C3D" w:rsidRDefault="00610C3D" w:rsidP="00CE00E0">
      <w:pPr>
        <w:spacing w:line="480" w:lineRule="auto"/>
        <w:rPr>
          <w:b/>
          <w:bCs/>
        </w:rPr>
      </w:pPr>
      <w:r>
        <w:rPr>
          <w:b/>
          <w:bCs/>
        </w:rPr>
        <w:br w:type="page"/>
      </w:r>
    </w:p>
    <w:p w14:paraId="1259AAEC" w14:textId="22831A33" w:rsidR="00C84193" w:rsidRDefault="00C84193" w:rsidP="00CE00E0">
      <w:pPr>
        <w:spacing w:line="480" w:lineRule="auto"/>
        <w:rPr>
          <w:b/>
          <w:bCs/>
        </w:rPr>
      </w:pPr>
      <w:r>
        <w:rPr>
          <w:b/>
          <w:bCs/>
        </w:rPr>
        <w:lastRenderedPageBreak/>
        <w:t>Abstract</w:t>
      </w:r>
    </w:p>
    <w:p w14:paraId="0E305958" w14:textId="77777777" w:rsidR="00C84193" w:rsidRDefault="00C84193" w:rsidP="00CE00E0">
      <w:pPr>
        <w:spacing w:line="480" w:lineRule="auto"/>
        <w:rPr>
          <w:b/>
          <w:bCs/>
        </w:rPr>
      </w:pPr>
    </w:p>
    <w:p w14:paraId="7BD6B62C" w14:textId="0B27C6AA" w:rsidR="00C84193" w:rsidRPr="002967FA" w:rsidRDefault="00C84193" w:rsidP="00CE00E0">
      <w:pPr>
        <w:spacing w:line="480" w:lineRule="auto"/>
      </w:pPr>
      <w:r>
        <w:rPr>
          <w:b/>
          <w:bCs/>
        </w:rPr>
        <w:t>Background:</w:t>
      </w:r>
      <w:r w:rsidR="002967FA">
        <w:rPr>
          <w:b/>
          <w:bCs/>
        </w:rPr>
        <w:t xml:space="preserve"> </w:t>
      </w:r>
      <w:r w:rsidR="002967FA" w:rsidRPr="00231413">
        <w:rPr>
          <w:rFonts w:eastAsia="Times New Roman"/>
          <w:iCs/>
        </w:rPr>
        <w:t xml:space="preserve">The </w:t>
      </w:r>
      <w:r w:rsidR="00180B63">
        <w:rPr>
          <w:rFonts w:eastAsia="Times New Roman"/>
          <w:iCs/>
        </w:rPr>
        <w:t>over</w:t>
      </w:r>
      <w:r w:rsidR="002967FA" w:rsidRPr="00231413">
        <w:rPr>
          <w:rFonts w:eastAsia="Times New Roman"/>
          <w:iCs/>
        </w:rPr>
        <w:t xml:space="preserve">hunting of wild </w:t>
      </w:r>
      <w:r w:rsidR="00680E8A">
        <w:rPr>
          <w:rFonts w:eastAsia="Times New Roman"/>
          <w:iCs/>
        </w:rPr>
        <w:t xml:space="preserve">species </w:t>
      </w:r>
      <w:r w:rsidR="002967FA" w:rsidRPr="00231413">
        <w:rPr>
          <w:rFonts w:eastAsia="Times New Roman"/>
          <w:iCs/>
        </w:rPr>
        <w:t xml:space="preserve">is </w:t>
      </w:r>
      <w:r w:rsidR="00180B63">
        <w:rPr>
          <w:rFonts w:eastAsia="Times New Roman"/>
          <w:iCs/>
        </w:rPr>
        <w:t>a</w:t>
      </w:r>
      <w:r w:rsidR="002967FA" w:rsidRPr="00231413">
        <w:rPr>
          <w:rFonts w:eastAsia="Times New Roman"/>
          <w:iCs/>
        </w:rPr>
        <w:t xml:space="preserve"> major </w:t>
      </w:r>
      <w:r w:rsidR="00180B63" w:rsidRPr="00231413">
        <w:rPr>
          <w:rFonts w:eastAsia="Times New Roman"/>
          <w:iCs/>
        </w:rPr>
        <w:t>threat</w:t>
      </w:r>
      <w:r w:rsidR="00180B63">
        <w:rPr>
          <w:rFonts w:eastAsia="Times New Roman"/>
          <w:iCs/>
        </w:rPr>
        <w:t xml:space="preserve"> to</w:t>
      </w:r>
      <w:r w:rsidR="00180B63" w:rsidRPr="00231413">
        <w:rPr>
          <w:rFonts w:eastAsia="Times New Roman"/>
          <w:iCs/>
        </w:rPr>
        <w:t xml:space="preserve"> </w:t>
      </w:r>
      <w:r w:rsidR="002967FA" w:rsidRPr="00231413">
        <w:rPr>
          <w:rFonts w:eastAsia="Times New Roman"/>
          <w:iCs/>
        </w:rPr>
        <w:t>biodiversity in the Amazon</w:t>
      </w:r>
      <w:r w:rsidR="00180B63">
        <w:rPr>
          <w:rFonts w:eastAsia="Times New Roman"/>
          <w:iCs/>
        </w:rPr>
        <w:t>; yet, managed, sustainable hunting is widely considered part of the</w:t>
      </w:r>
      <w:r w:rsidR="004A28F5">
        <w:rPr>
          <w:rFonts w:eastAsia="Times New Roman"/>
          <w:iCs/>
        </w:rPr>
        <w:t xml:space="preserve"> solution to conserving wildlife populations. H</w:t>
      </w:r>
      <w:r w:rsidR="002967FA" w:rsidRPr="00231413">
        <w:rPr>
          <w:rFonts w:eastAsia="Times New Roman"/>
          <w:iCs/>
        </w:rPr>
        <w:t xml:space="preserve">unting is both a culturally important activity for </w:t>
      </w:r>
      <w:r w:rsidR="00D418D5">
        <w:rPr>
          <w:rFonts w:eastAsia="Times New Roman"/>
          <w:iCs/>
        </w:rPr>
        <w:t>I</w:t>
      </w:r>
      <w:r w:rsidR="00D418D5" w:rsidRPr="00231413">
        <w:rPr>
          <w:rFonts w:eastAsia="Times New Roman"/>
          <w:iCs/>
        </w:rPr>
        <w:t xml:space="preserve">ndigenous </w:t>
      </w:r>
      <w:r w:rsidR="002967FA" w:rsidRPr="00231413">
        <w:rPr>
          <w:rFonts w:eastAsia="Times New Roman"/>
          <w:iCs/>
        </w:rPr>
        <w:t xml:space="preserve">people and </w:t>
      </w:r>
      <w:r w:rsidR="004A28F5">
        <w:rPr>
          <w:rFonts w:eastAsia="Times New Roman"/>
          <w:iCs/>
        </w:rPr>
        <w:t xml:space="preserve">provides </w:t>
      </w:r>
      <w:r w:rsidR="002967FA" w:rsidRPr="00231413">
        <w:rPr>
          <w:rFonts w:eastAsia="Times New Roman"/>
          <w:iCs/>
        </w:rPr>
        <w:t xml:space="preserve">an important food source. </w:t>
      </w:r>
      <w:r w:rsidR="002967FA">
        <w:t>M</w:t>
      </w:r>
      <w:r w:rsidR="002967FA" w:rsidRPr="00313BD4">
        <w:t>ineral licks</w:t>
      </w:r>
      <w:r w:rsidR="002967FA">
        <w:t>,</w:t>
      </w:r>
      <w:r w:rsidR="002967FA" w:rsidRPr="00313BD4">
        <w:t xml:space="preserve"> </w:t>
      </w:r>
      <w:r w:rsidR="002967FA">
        <w:t xml:space="preserve">a focal point of hunting in Amazonia, are </w:t>
      </w:r>
      <w:r w:rsidR="002967FA" w:rsidRPr="00313BD4">
        <w:t xml:space="preserve">naturally occurring </w:t>
      </w:r>
      <w:r w:rsidR="002967FA">
        <w:t>areas</w:t>
      </w:r>
      <w:r w:rsidR="002967FA" w:rsidRPr="00313BD4">
        <w:t xml:space="preserve"> in the forest where animals come to obtain essential minerals </w:t>
      </w:r>
      <w:r w:rsidR="002967FA">
        <w:t xml:space="preserve">or clays that </w:t>
      </w:r>
      <w:r w:rsidR="00522DFE">
        <w:t>are thought to neutralize</w:t>
      </w:r>
      <w:r w:rsidR="002967FA">
        <w:t xml:space="preserve"> plant-based alkaloids</w:t>
      </w:r>
      <w:r w:rsidR="002967FA" w:rsidRPr="00313BD4">
        <w:t xml:space="preserve">. </w:t>
      </w:r>
      <w:r w:rsidR="004A28F5">
        <w:t>We</w:t>
      </w:r>
      <w:r w:rsidR="00D53C09" w:rsidRPr="00D53C09">
        <w:t xml:space="preserve"> sought to better understand the socio-cultural importance of mineral licks to the </w:t>
      </w:r>
      <w:proofErr w:type="spellStart"/>
      <w:r w:rsidR="00D53C09" w:rsidRPr="00D53C09">
        <w:t>Maijuna</w:t>
      </w:r>
      <w:proofErr w:type="spellEnd"/>
      <w:r w:rsidR="00984128">
        <w:t xml:space="preserve"> </w:t>
      </w:r>
      <w:r w:rsidR="00B73284">
        <w:t xml:space="preserve">Indigenous </w:t>
      </w:r>
      <w:r w:rsidR="00984128">
        <w:t>group</w:t>
      </w:r>
      <w:r w:rsidR="00D53C09" w:rsidRPr="00D53C09">
        <w:t xml:space="preserve"> </w:t>
      </w:r>
      <w:r w:rsidR="00984128">
        <w:t>to inform the sustainable management of this habitat</w:t>
      </w:r>
      <w:r w:rsidR="001E0C0B">
        <w:t xml:space="preserve"> and associated wildlife populations</w:t>
      </w:r>
      <w:r w:rsidR="00D53C09" w:rsidRPr="00D53C09">
        <w:t>.</w:t>
      </w:r>
    </w:p>
    <w:p w14:paraId="621CF38C" w14:textId="77777777" w:rsidR="00C84193" w:rsidRDefault="00C84193" w:rsidP="00CE00E0">
      <w:pPr>
        <w:spacing w:line="480" w:lineRule="auto"/>
        <w:rPr>
          <w:b/>
          <w:bCs/>
        </w:rPr>
      </w:pPr>
    </w:p>
    <w:p w14:paraId="4137870F" w14:textId="5094C3CF" w:rsidR="009E0BE9" w:rsidRDefault="00C84193" w:rsidP="00CE00E0">
      <w:pPr>
        <w:spacing w:line="480" w:lineRule="auto"/>
      </w:pPr>
      <w:r>
        <w:rPr>
          <w:b/>
          <w:bCs/>
        </w:rPr>
        <w:t>Methods:</w:t>
      </w:r>
      <w:r w:rsidR="00C774B4" w:rsidRPr="00C774B4">
        <w:t xml:space="preserve"> </w:t>
      </w:r>
      <w:r w:rsidR="00C774B4">
        <w:t>Semi-structured interviews, focus groups, and participatory mapping we</w:t>
      </w:r>
      <w:r w:rsidR="002D071B">
        <w:t>re</w:t>
      </w:r>
      <w:r w:rsidR="00C774B4">
        <w:t xml:space="preserve"> </w:t>
      </w:r>
      <w:r w:rsidR="00B11AFD">
        <w:t xml:space="preserve">carried out </w:t>
      </w:r>
      <w:r w:rsidR="00C53F43">
        <w:t xml:space="preserve">with hunters </w:t>
      </w:r>
      <w:r w:rsidR="00B11AFD">
        <w:t xml:space="preserve">to </w:t>
      </w:r>
      <w:r w:rsidR="002D071B">
        <w:t>assess</w:t>
      </w:r>
      <w:r w:rsidR="00B11AFD">
        <w:t xml:space="preserve"> the </w:t>
      </w:r>
      <w:r w:rsidR="00B11AFD" w:rsidRPr="00FA7F88">
        <w:t xml:space="preserve">significance of </w:t>
      </w:r>
      <w:r w:rsidR="00B11AFD">
        <w:t>mineral licks</w:t>
      </w:r>
      <w:r w:rsidR="00B11AFD" w:rsidRPr="00FA7F88">
        <w:t xml:space="preserve"> and their associated</w:t>
      </w:r>
      <w:r w:rsidR="00B11AFD">
        <w:t xml:space="preserve"> </w:t>
      </w:r>
      <w:r w:rsidR="00B11AFD" w:rsidRPr="00FA7F88">
        <w:t xml:space="preserve">animal resources </w:t>
      </w:r>
      <w:r w:rsidR="00BF43F1">
        <w:t>as well as to</w:t>
      </w:r>
      <w:r w:rsidR="009E0BE9">
        <w:t xml:space="preserve"> determine how the relationship that the </w:t>
      </w:r>
      <w:proofErr w:type="spellStart"/>
      <w:r w:rsidR="009E0BE9">
        <w:t>Maijuna</w:t>
      </w:r>
      <w:proofErr w:type="spellEnd"/>
      <w:r w:rsidR="009E0BE9">
        <w:t xml:space="preserve"> have with mineral licks has changed over time.</w:t>
      </w:r>
      <w:r w:rsidR="00B11AFD" w:rsidRPr="00FA7F88">
        <w:t xml:space="preserve"> </w:t>
      </w:r>
    </w:p>
    <w:p w14:paraId="62098DE3" w14:textId="77777777" w:rsidR="00C84193" w:rsidRDefault="00C84193" w:rsidP="00CE00E0">
      <w:pPr>
        <w:spacing w:line="480" w:lineRule="auto"/>
        <w:rPr>
          <w:b/>
          <w:bCs/>
        </w:rPr>
      </w:pPr>
    </w:p>
    <w:p w14:paraId="4A79C617" w14:textId="360A7DAC" w:rsidR="00C84193" w:rsidRPr="008342A6" w:rsidRDefault="00C84193" w:rsidP="00CE00E0">
      <w:pPr>
        <w:spacing w:line="480" w:lineRule="auto"/>
      </w:pPr>
      <w:r>
        <w:rPr>
          <w:b/>
          <w:bCs/>
        </w:rPr>
        <w:t>Results:</w:t>
      </w:r>
      <w:r w:rsidR="008342A6">
        <w:rPr>
          <w:b/>
          <w:bCs/>
        </w:rPr>
        <w:t xml:space="preserve"> </w:t>
      </w:r>
      <w:r w:rsidR="008342A6">
        <w:t xml:space="preserve">Mineral licks are culturally significant and useful to the </w:t>
      </w:r>
      <w:proofErr w:type="spellStart"/>
      <w:r w:rsidR="008342A6">
        <w:t>Maijuna</w:t>
      </w:r>
      <w:proofErr w:type="spellEnd"/>
      <w:r w:rsidR="008342A6">
        <w:t xml:space="preserve"> in a variety of ways. Hunters target these areas year-round both during the day and night, and animals killed are consumed for subsistence and sold to genera</w:t>
      </w:r>
      <w:r w:rsidR="001610BF">
        <w:t>te</w:t>
      </w:r>
      <w:r w:rsidR="008342A6">
        <w:t xml:space="preserve"> income. </w:t>
      </w:r>
      <w:r w:rsidR="00422C24">
        <w:t>The</w:t>
      </w:r>
      <w:r w:rsidR="00EC4AA7">
        <w:t xml:space="preserve"> spatial use </w:t>
      </w:r>
      <w:r w:rsidR="00422C24">
        <w:t xml:space="preserve">of mineral licks </w:t>
      </w:r>
      <w:r w:rsidR="00EC4AA7">
        <w:t>across the landscape is determined on the</w:t>
      </w:r>
      <w:r w:rsidR="00A40372">
        <w:t xml:space="preserve"> generational</w:t>
      </w:r>
      <w:r w:rsidR="00EC4AA7">
        <w:t xml:space="preserve"> family level</w:t>
      </w:r>
      <w:r w:rsidR="00422C24">
        <w:t>, with</w:t>
      </w:r>
      <w:r w:rsidR="00422C24" w:rsidRPr="00392A24">
        <w:t xml:space="preserve"> families maintain</w:t>
      </w:r>
      <w:r w:rsidR="00133AE7">
        <w:t>ing</w:t>
      </w:r>
      <w:r w:rsidR="00422C24" w:rsidRPr="00392A24">
        <w:t xml:space="preserve"> exclusive use of selected mineral licks and exclud</w:t>
      </w:r>
      <w:r w:rsidR="001610BF">
        <w:t>ing</w:t>
      </w:r>
      <w:r w:rsidR="00422C24" w:rsidRPr="00392A24">
        <w:t xml:space="preserve"> access by other hunters</w:t>
      </w:r>
      <w:r w:rsidR="00422C24">
        <w:t xml:space="preserve">. </w:t>
      </w:r>
      <w:r w:rsidR="00DF3C11">
        <w:t xml:space="preserve">The </w:t>
      </w:r>
      <w:proofErr w:type="spellStart"/>
      <w:r w:rsidR="00DF3C11">
        <w:t>Maijuna</w:t>
      </w:r>
      <w:proofErr w:type="spellEnd"/>
      <w:r w:rsidR="00DF3C11">
        <w:t xml:space="preserve"> also have traditional beliefs for why animals visit mineral licks, which is linked to the traditional </w:t>
      </w:r>
      <w:proofErr w:type="spellStart"/>
      <w:r w:rsidR="00DF3C11">
        <w:t>Maijuna</w:t>
      </w:r>
      <w:proofErr w:type="spellEnd"/>
      <w:r w:rsidR="00DF3C11">
        <w:t xml:space="preserve"> story of the creation of the first tapir. </w:t>
      </w:r>
      <w:r w:rsidR="00C63468">
        <w:t xml:space="preserve">The relationship that the </w:t>
      </w:r>
      <w:proofErr w:type="spellStart"/>
      <w:r w:rsidR="00C63468">
        <w:t>Maijuna</w:t>
      </w:r>
      <w:proofErr w:type="spellEnd"/>
      <w:r w:rsidR="00C63468">
        <w:t xml:space="preserve"> have with mineral licks </w:t>
      </w:r>
      <w:r w:rsidR="00C63468">
        <w:lastRenderedPageBreak/>
        <w:t xml:space="preserve">has changed </w:t>
      </w:r>
      <w:r w:rsidR="00A1286B">
        <w:t xml:space="preserve">considerably </w:t>
      </w:r>
      <w:r w:rsidR="00C63468">
        <w:t xml:space="preserve">over </w:t>
      </w:r>
      <w:r w:rsidR="001921F6">
        <w:t>time</w:t>
      </w:r>
      <w:r w:rsidR="00A1286B">
        <w:t>, which is observed through changes in hunting technologies and methods as well as the loss of traditional knowledge and beliefs.</w:t>
      </w:r>
    </w:p>
    <w:p w14:paraId="740CF91D" w14:textId="77777777" w:rsidR="00C84193" w:rsidRDefault="00C84193" w:rsidP="00CE00E0">
      <w:pPr>
        <w:spacing w:line="480" w:lineRule="auto"/>
        <w:rPr>
          <w:b/>
          <w:bCs/>
        </w:rPr>
      </w:pPr>
    </w:p>
    <w:p w14:paraId="23EE39BA" w14:textId="52D54511" w:rsidR="00C84193" w:rsidRDefault="00C84193" w:rsidP="00CE00E0">
      <w:pPr>
        <w:spacing w:line="480" w:lineRule="auto"/>
        <w:rPr>
          <w:b/>
          <w:bCs/>
        </w:rPr>
      </w:pPr>
      <w:r>
        <w:rPr>
          <w:b/>
          <w:bCs/>
        </w:rPr>
        <w:t>Conclusions:</w:t>
      </w:r>
      <w:r w:rsidR="007D3750">
        <w:rPr>
          <w:b/>
          <w:bCs/>
        </w:rPr>
        <w:t xml:space="preserve"> </w:t>
      </w:r>
      <w:r w:rsidR="0045458A" w:rsidRPr="00392A24">
        <w:t xml:space="preserve">Traditional and current </w:t>
      </w:r>
      <w:proofErr w:type="spellStart"/>
      <w:r w:rsidR="0045458A" w:rsidRPr="00392A24">
        <w:t>Maijuna</w:t>
      </w:r>
      <w:proofErr w:type="spellEnd"/>
      <w:r w:rsidR="0045458A" w:rsidRPr="00392A24">
        <w:t xml:space="preserve"> hunting conventions, in which families maintain exclusive use of selected mineral licks, likely reduces the probability of overexploitation</w:t>
      </w:r>
      <w:r w:rsidR="0045458A">
        <w:t xml:space="preserve"> of animal </w:t>
      </w:r>
      <w:r w:rsidR="00505F0D">
        <w:t>populations</w:t>
      </w:r>
      <w:r w:rsidR="0045458A">
        <w:t>. C</w:t>
      </w:r>
      <w:r w:rsidR="00551B78">
        <w:t xml:space="preserve">ommunity-based management plans for mineral licks in </w:t>
      </w:r>
      <w:proofErr w:type="spellStart"/>
      <w:r w:rsidR="00551B78">
        <w:t>Maijuna</w:t>
      </w:r>
      <w:proofErr w:type="spellEnd"/>
      <w:r w:rsidR="00551B78">
        <w:t xml:space="preserve"> lands </w:t>
      </w:r>
      <w:r w:rsidR="00505F0D">
        <w:t xml:space="preserve">and beyond </w:t>
      </w:r>
      <w:r w:rsidR="00551B78">
        <w:t xml:space="preserve">must incorporate and account for the multiple cultural and economic needs of </w:t>
      </w:r>
      <w:r w:rsidR="00505F0D">
        <w:t>local communities</w:t>
      </w:r>
      <w:r w:rsidR="00551B78">
        <w:t xml:space="preserve"> while also striving toward ecological sustainability</w:t>
      </w:r>
      <w:r w:rsidR="006C0552">
        <w:t>. Country-wide strategies to conserving forests and using them sustainably should aim to ensure land tenure for rural peoples and encourage management that incorporates traditional sustainable hunting conventions</w:t>
      </w:r>
      <w:r w:rsidR="00FC57CC">
        <w:t>.</w:t>
      </w:r>
    </w:p>
    <w:p w14:paraId="4263B228" w14:textId="77777777" w:rsidR="00FC57CC" w:rsidRDefault="00FC57CC" w:rsidP="00CE00E0">
      <w:pPr>
        <w:spacing w:line="480" w:lineRule="auto"/>
        <w:rPr>
          <w:b/>
          <w:bCs/>
        </w:rPr>
      </w:pPr>
    </w:p>
    <w:p w14:paraId="51BFB9BC" w14:textId="1673A01B" w:rsidR="00C84193" w:rsidRDefault="00C84193" w:rsidP="00CE00E0">
      <w:pPr>
        <w:spacing w:line="480" w:lineRule="auto"/>
        <w:rPr>
          <w:b/>
          <w:bCs/>
        </w:rPr>
      </w:pPr>
      <w:r>
        <w:rPr>
          <w:b/>
          <w:bCs/>
        </w:rPr>
        <w:t>Keywords:</w:t>
      </w:r>
      <w:r w:rsidR="00FC57CC">
        <w:rPr>
          <w:b/>
          <w:bCs/>
        </w:rPr>
        <w:t xml:space="preserve"> </w:t>
      </w:r>
      <w:r w:rsidR="00FC57CC">
        <w:t xml:space="preserve">Mammals, Biodiversity, Wildlife, Traditional Ecological Knowledge, </w:t>
      </w:r>
      <w:r w:rsidR="008D52AE">
        <w:t xml:space="preserve">Ethnoecology, </w:t>
      </w:r>
      <w:r w:rsidR="001F2D0A">
        <w:t>Conservation</w:t>
      </w:r>
      <w:r w:rsidR="00FC57CC">
        <w:rPr>
          <w:b/>
          <w:bCs/>
        </w:rPr>
        <w:t xml:space="preserve"> </w:t>
      </w:r>
    </w:p>
    <w:p w14:paraId="6CD1E1FB" w14:textId="77777777" w:rsidR="00503C4C" w:rsidRDefault="00503C4C" w:rsidP="00CE00E0">
      <w:pPr>
        <w:spacing w:line="480" w:lineRule="auto"/>
        <w:rPr>
          <w:b/>
          <w:bCs/>
        </w:rPr>
      </w:pPr>
    </w:p>
    <w:p w14:paraId="7983FC59" w14:textId="5B331529" w:rsidR="00F93ECD" w:rsidRPr="00F93ECD" w:rsidRDefault="00F93ECD" w:rsidP="00CE00E0">
      <w:pPr>
        <w:spacing w:line="480" w:lineRule="auto"/>
        <w:rPr>
          <w:b/>
          <w:bCs/>
        </w:rPr>
      </w:pPr>
      <w:r w:rsidRPr="00F93ECD">
        <w:rPr>
          <w:b/>
          <w:bCs/>
        </w:rPr>
        <w:t>Background</w:t>
      </w:r>
    </w:p>
    <w:p w14:paraId="36A29BDE" w14:textId="77777777" w:rsidR="00F93ECD" w:rsidRDefault="00F93ECD" w:rsidP="00CE00E0">
      <w:pPr>
        <w:spacing w:line="480" w:lineRule="auto"/>
      </w:pPr>
    </w:p>
    <w:p w14:paraId="72012DD6" w14:textId="1C973195" w:rsidR="00EA7271" w:rsidRDefault="00E632CB" w:rsidP="00CE00E0">
      <w:pPr>
        <w:spacing w:line="480" w:lineRule="auto"/>
        <w:ind w:firstLine="720"/>
        <w:rPr>
          <w:rFonts w:eastAsia="Times New Roman"/>
          <w:iCs/>
        </w:rPr>
      </w:pPr>
      <w:r>
        <w:rPr>
          <w:rFonts w:eastAsia="Times New Roman"/>
          <w:iCs/>
        </w:rPr>
        <w:t xml:space="preserve">Hunting threatens wild mammal populations in </w:t>
      </w:r>
      <w:r w:rsidR="00E422DD" w:rsidRPr="00231413">
        <w:rPr>
          <w:rFonts w:eastAsia="Times New Roman"/>
          <w:iCs/>
        </w:rPr>
        <w:t xml:space="preserve">the Amazon </w:t>
      </w:r>
      <w:r w:rsidR="00F06376">
        <w:rPr>
          <w:rFonts w:eastAsia="Times New Roman"/>
          <w:iCs/>
        </w:rPr>
        <w:t>b</w:t>
      </w:r>
      <w:r w:rsidR="00F06376" w:rsidRPr="00231413">
        <w:rPr>
          <w:rFonts w:eastAsia="Times New Roman"/>
          <w:iCs/>
        </w:rPr>
        <w:t>asin</w:t>
      </w:r>
      <w:r w:rsidR="00D62F75">
        <w:rPr>
          <w:rFonts w:eastAsia="Times New Roman"/>
          <w:iCs/>
        </w:rPr>
        <w:t xml:space="preserve"> </w:t>
      </w:r>
      <w:r w:rsidR="000835CD">
        <w:rPr>
          <w:rFonts w:eastAsia="Times New Roman"/>
          <w:iCs/>
        </w:rPr>
        <w:fldChar w:fldCharType="begin"/>
      </w:r>
      <w:r w:rsidR="00FD52E5">
        <w:rPr>
          <w:rFonts w:eastAsia="Times New Roman"/>
          <w:iCs/>
        </w:rPr>
        <w:instrText xml:space="preserve"> ADDIN ZOTERO_ITEM CSL_CITATION {"citationID":"ygQzL6U2","properties":{"formattedCitation":"[1]","plainCitation":"[1]","noteIndex":0},"citationItems":[{"id":2087,"uris":["http://zotero.org/users/1105362/items/69RN3GD9"],"uri":["http://zotero.org/users/1105362/items/69RN3GD9"],"itemData":{"id":2087,"type":"article-journal","title":"The impact of hunting on tropical mammal and bird populations","container-title":"Science","page":"180–183","volume":"356","issue":"6334","source":"Google Scholar","author":[{"family":"Benítez-López","given":"A."},{"family":"Alkemade","given":"R."},{"family":"Schipper","given":"A. M."},{"family":"Ingram","given":"D. J."},{"family":"Verweij","given":"P. A."},{"family":"Eikelboom","given":"J. A. J."},{"family":"Huijbregts","given":"M. A. J."}],"issued":{"date-parts":[["2017"]]}}}],"schema":"https://github.com/citation-style-language/schema/raw/master/csl-citation.json"} </w:instrText>
      </w:r>
      <w:r w:rsidR="000835CD">
        <w:rPr>
          <w:rFonts w:eastAsia="Times New Roman"/>
          <w:iCs/>
        </w:rPr>
        <w:fldChar w:fldCharType="separate"/>
      </w:r>
      <w:r w:rsidR="00FD52E5">
        <w:t>[1]</w:t>
      </w:r>
      <w:r w:rsidR="000835CD">
        <w:rPr>
          <w:rFonts w:eastAsia="Times New Roman"/>
          <w:iCs/>
        </w:rPr>
        <w:fldChar w:fldCharType="end"/>
      </w:r>
      <w:r>
        <w:rPr>
          <w:rFonts w:eastAsia="Times New Roman"/>
          <w:iCs/>
        </w:rPr>
        <w:t>, but</w:t>
      </w:r>
      <w:r w:rsidR="00D97A7F">
        <w:rPr>
          <w:rFonts w:eastAsia="Times New Roman"/>
          <w:iCs/>
        </w:rPr>
        <w:t xml:space="preserve"> </w:t>
      </w:r>
      <w:r w:rsidR="00E422DD" w:rsidRPr="00231413">
        <w:rPr>
          <w:rFonts w:eastAsia="Times New Roman"/>
          <w:iCs/>
        </w:rPr>
        <w:t xml:space="preserve">is a culturally important activity for </w:t>
      </w:r>
      <w:r w:rsidR="00F00611">
        <w:rPr>
          <w:rFonts w:eastAsia="Times New Roman"/>
          <w:iCs/>
        </w:rPr>
        <w:t>I</w:t>
      </w:r>
      <w:r w:rsidR="00E422DD" w:rsidRPr="00231413">
        <w:rPr>
          <w:rFonts w:eastAsia="Times New Roman"/>
          <w:iCs/>
        </w:rPr>
        <w:t xml:space="preserve">ndigenous people and </w:t>
      </w:r>
      <w:r>
        <w:rPr>
          <w:rFonts w:eastAsia="Times New Roman"/>
          <w:iCs/>
        </w:rPr>
        <w:t>a principle source of food</w:t>
      </w:r>
      <w:r w:rsidR="00116465">
        <w:rPr>
          <w:rFonts w:eastAsia="Times New Roman"/>
          <w:iCs/>
        </w:rPr>
        <w:t xml:space="preserve"> </w:t>
      </w:r>
      <w:r w:rsidR="00AF022A">
        <w:rPr>
          <w:rFonts w:eastAsia="Times New Roman"/>
          <w:iCs/>
        </w:rPr>
        <w:fldChar w:fldCharType="begin"/>
      </w:r>
      <w:r w:rsidR="00FD52E5">
        <w:rPr>
          <w:rFonts w:eastAsia="Times New Roman"/>
          <w:iCs/>
        </w:rPr>
        <w:instrText xml:space="preserve"> ADDIN ZOTERO_ITEM CSL_CITATION {"citationID":"q6zXnSWX","properties":{"formattedCitation":"[2]","plainCitation":"[2]","noteIndex":0},"citationItems":[{"id":1133,"uris":["http://zotero.org/users/1105362/items/Q93ZG6DV"],"uri":["http://zotero.org/users/1105362/items/Q93ZG6DV"],"itemData":{"id":1133,"type":"article-journal","title":"Empty forest or empty rivers? A century of commercial hunting in Amazonia","container-title":"Science Advances","page":"e1600936","volume":"2","issue":"10","source":"advances.sciencemag.org","abstract":"The Amazon basin is the largest and most species-rich tropical forest and river system in the world, playing a pivotal role in global climate regulation and harboring hundreds of traditional and indigenous cultures. It is a matter of intense debate whether the ecosystem is threatened by hunting practices, whereby an “empty forest” loses critical ecological functions. Strikingly, no previous study has examined Amazonian ecosystem resilience through the perspective of the massive 20th century international trade in furs and skins. We present the first historical account of the scale and impacts of this trade and show that whereas aquatic species suffered basin-wide population collapse, terrestrial species did not. We link this differential resilience to the persistence of adequate spatial refuges for terrestrial species, enabling populations to be sustained through source-sink dynamics, contrasting with unremitting hunting pressure on more accessible aquatic habitats. Our findings attest the high vulnerability of aquatic fauna to unregulated hunting, particularly during years of severe drought. We propose that the relative resilience of terrestrial species suggests a marked opportunity for managing, rather than criminalizing, contemporary traditional subsistence hunting in Amazonia, through both the engagement of local people in community-based comanagement programs and science-led conservation governance.\nTrend analysis of the massive international hide trade in Amazonia reveals differential resilience to hunting for aquatic and terrestrial wildlife.\nTrend analysis of the massive international hide trade in Amazonia reveals differential resilience to hunting for aquatic and terrestrial wildlife.","DOI":"10.1126/sciadv.1600936","ISSN":"2375-2548","title-short":"Empty forest or empty rivers?","language":"en","author":[{"family":"Antunes","given":"André P."},{"family":"Fewster","given":"Rachel M."},{"family":"Venticinque","given":"Eduardo M."},{"family":"Peres","given":"Carlos A."},{"family":"Levi","given":"Taal"},{"family":"Rohe","given":"Fabio"},{"family":"Shepard","given":"Glenn H."}],"issued":{"date-parts":[["2016",10,1]]}}}],"schema":"https://github.com/citation-style-language/schema/raw/master/csl-citation.json"} </w:instrText>
      </w:r>
      <w:r w:rsidR="00AF022A">
        <w:rPr>
          <w:rFonts w:eastAsia="Times New Roman"/>
          <w:iCs/>
        </w:rPr>
        <w:fldChar w:fldCharType="separate"/>
      </w:r>
      <w:r w:rsidR="00FD52E5">
        <w:rPr>
          <w:rFonts w:eastAsia="Times New Roman"/>
          <w:iCs/>
          <w:noProof/>
        </w:rPr>
        <w:t>[2]</w:t>
      </w:r>
      <w:r w:rsidR="00AF022A">
        <w:rPr>
          <w:rFonts w:eastAsia="Times New Roman"/>
          <w:iCs/>
        </w:rPr>
        <w:fldChar w:fldCharType="end"/>
      </w:r>
      <w:r w:rsidR="00E422DD" w:rsidRPr="00231413">
        <w:rPr>
          <w:rFonts w:eastAsia="Times New Roman"/>
          <w:iCs/>
        </w:rPr>
        <w:t xml:space="preserve">. </w:t>
      </w:r>
      <w:r w:rsidR="00EA7271">
        <w:rPr>
          <w:rFonts w:eastAsia="Times New Roman"/>
          <w:iCs/>
        </w:rPr>
        <w:t xml:space="preserve">The largest </w:t>
      </w:r>
      <w:r w:rsidR="00061F7C">
        <w:rPr>
          <w:rFonts w:eastAsia="Times New Roman"/>
          <w:iCs/>
        </w:rPr>
        <w:t xml:space="preserve">animal </w:t>
      </w:r>
      <w:r w:rsidR="00EA7271">
        <w:rPr>
          <w:rFonts w:eastAsia="Times New Roman"/>
          <w:iCs/>
        </w:rPr>
        <w:t>species are typically the most</w:t>
      </w:r>
      <w:r w:rsidR="00D62F75">
        <w:rPr>
          <w:rFonts w:eastAsia="Times New Roman"/>
          <w:iCs/>
        </w:rPr>
        <w:t xml:space="preserve"> frequently</w:t>
      </w:r>
      <w:r w:rsidR="00EA7271">
        <w:rPr>
          <w:rFonts w:eastAsia="Times New Roman"/>
          <w:iCs/>
        </w:rPr>
        <w:t xml:space="preserve"> </w:t>
      </w:r>
      <w:r w:rsidR="00893430">
        <w:rPr>
          <w:rFonts w:eastAsia="Times New Roman"/>
          <w:iCs/>
        </w:rPr>
        <w:t>targeted</w:t>
      </w:r>
      <w:r w:rsidR="00061F7C">
        <w:rPr>
          <w:rFonts w:eastAsia="Times New Roman"/>
          <w:iCs/>
        </w:rPr>
        <w:t>, with</w:t>
      </w:r>
      <w:r w:rsidR="00EA7271">
        <w:rPr>
          <w:rFonts w:eastAsia="Times New Roman"/>
          <w:iCs/>
        </w:rPr>
        <w:t xml:space="preserve"> the ungulates like lowland </w:t>
      </w:r>
      <w:r w:rsidR="00EA7271">
        <w:t>tapir (</w:t>
      </w:r>
      <w:proofErr w:type="spellStart"/>
      <w:r w:rsidR="00EA7271" w:rsidRPr="00231413">
        <w:rPr>
          <w:i/>
        </w:rPr>
        <w:t>Tapirus</w:t>
      </w:r>
      <w:proofErr w:type="spellEnd"/>
      <w:r w:rsidR="00EA7271" w:rsidRPr="00231413">
        <w:rPr>
          <w:i/>
        </w:rPr>
        <w:t xml:space="preserve"> </w:t>
      </w:r>
      <w:proofErr w:type="spellStart"/>
      <w:r w:rsidR="00EA7271" w:rsidRPr="00231413">
        <w:rPr>
          <w:i/>
        </w:rPr>
        <w:t>terrestris</w:t>
      </w:r>
      <w:proofErr w:type="spellEnd"/>
      <w:r w:rsidR="00EA7271">
        <w:rPr>
          <w:iCs/>
        </w:rPr>
        <w:t>)</w:t>
      </w:r>
      <w:r w:rsidR="00EA7271">
        <w:t>, white-lipped peccary (</w:t>
      </w:r>
      <w:proofErr w:type="spellStart"/>
      <w:r w:rsidR="00EA7271" w:rsidRPr="00231413">
        <w:rPr>
          <w:i/>
          <w:iCs/>
        </w:rPr>
        <w:t>Tayassu</w:t>
      </w:r>
      <w:proofErr w:type="spellEnd"/>
      <w:r w:rsidR="00EA7271" w:rsidRPr="00231413">
        <w:rPr>
          <w:i/>
          <w:iCs/>
        </w:rPr>
        <w:t xml:space="preserve"> </w:t>
      </w:r>
      <w:proofErr w:type="spellStart"/>
      <w:r w:rsidR="00EA7271" w:rsidRPr="00231413">
        <w:rPr>
          <w:i/>
          <w:iCs/>
        </w:rPr>
        <w:t>pecari</w:t>
      </w:r>
      <w:proofErr w:type="spellEnd"/>
      <w:r w:rsidR="00EA7271">
        <w:t>) and red brocket deer (</w:t>
      </w:r>
      <w:r w:rsidR="00EA7271">
        <w:rPr>
          <w:i/>
        </w:rPr>
        <w:t xml:space="preserve">Mazama </w:t>
      </w:r>
      <w:proofErr w:type="spellStart"/>
      <w:r w:rsidR="00EA7271">
        <w:rPr>
          <w:i/>
        </w:rPr>
        <w:t>americana</w:t>
      </w:r>
      <w:proofErr w:type="spellEnd"/>
      <w:r w:rsidR="00EA7271">
        <w:t>), and the large rodents</w:t>
      </w:r>
      <w:r w:rsidR="00D97A7F">
        <w:t>,</w:t>
      </w:r>
      <w:r w:rsidR="00EA7271">
        <w:t xml:space="preserve"> paca (</w:t>
      </w:r>
      <w:r w:rsidR="00EA7271">
        <w:rPr>
          <w:i/>
        </w:rPr>
        <w:t>Cuniculus paca</w:t>
      </w:r>
      <w:r w:rsidR="00EA7271">
        <w:t xml:space="preserve">), </w:t>
      </w:r>
      <w:r w:rsidR="00B93BFE">
        <w:t xml:space="preserve">usually </w:t>
      </w:r>
      <w:r w:rsidR="00EA7271">
        <w:t xml:space="preserve">making up the largest proportion of </w:t>
      </w:r>
      <w:r w:rsidR="00061F7C">
        <w:t xml:space="preserve">kills </w:t>
      </w:r>
      <w:r w:rsidR="00AF022A">
        <w:fldChar w:fldCharType="begin"/>
      </w:r>
      <w:r w:rsidR="00FD52E5">
        <w:instrText xml:space="preserve"> ADDIN ZOTERO_ITEM CSL_CITATION {"citationID":"HWzAAvM2","properties":{"formattedCitation":"[3]","plainCitation":"[3]","noteIndex":0},"citationItems":[{"id":2081,"uris":["http://zotero.org/users/1105362/items/HUZFKDD6"],"uri":["http://zotero.org/users/1105362/items/HUZFKDD6"],"itemData":{"id":2081,"type":"article-journal","title":"Evaluation of mammals hunting in indigenous and rural localities in Eastern Brazilian Amazon","container-title":"Ethnobiology and Conservation","volume":"4","source":"Google Scholar","author":[{"family":"Mesquita","given":"Geison Pires"},{"family":"Barreto","given":"Larissa Nascimento"}],"issued":{"date-parts":[["2015"]]}}}],"schema":"https://github.com/citation-style-language/schema/raw/master/csl-citation.json"} </w:instrText>
      </w:r>
      <w:r w:rsidR="00AF022A">
        <w:fldChar w:fldCharType="separate"/>
      </w:r>
      <w:r w:rsidR="00FD52E5">
        <w:rPr>
          <w:noProof/>
        </w:rPr>
        <w:t>[3]</w:t>
      </w:r>
      <w:r w:rsidR="00AF022A">
        <w:fldChar w:fldCharType="end"/>
      </w:r>
      <w:r w:rsidR="00061F7C">
        <w:t xml:space="preserve">. The larger primates are also widely </w:t>
      </w:r>
      <w:r w:rsidR="00B93BFE">
        <w:t>consumed and</w:t>
      </w:r>
      <w:r w:rsidR="00061F7C">
        <w:t xml:space="preserve"> are favored by some </w:t>
      </w:r>
      <w:r w:rsidR="00F00611">
        <w:t>I</w:t>
      </w:r>
      <w:r w:rsidR="00061F7C">
        <w:t xml:space="preserve">ndigenous </w:t>
      </w:r>
      <w:r w:rsidR="00061F7C">
        <w:lastRenderedPageBreak/>
        <w:t>communities</w:t>
      </w:r>
      <w:r w:rsidR="00B93BFE">
        <w:t xml:space="preserve"> </w:t>
      </w:r>
      <w:r w:rsidR="00482D2A">
        <w:fldChar w:fldCharType="begin"/>
      </w:r>
      <w:r w:rsidR="00FD52E5">
        <w:instrText xml:space="preserve"> ADDIN ZOTERO_ITEM CSL_CITATION {"citationID":"0pwI76eD","properties":{"formattedCitation":"[4]","plainCitation":"[4]","noteIndex":0},"citationItems":[{"id":1149,"uris":["http://zotero.org/users/1105362/items/AG9VVUNP"],"uri":["http://zotero.org/users/1105362/items/AG9VVUNP"],"itemData":{"id":1149,"type":"article-journal","title":"Shotguns and sustainable hunting in the Neotropics","container-title":"Oryx","page":"58-66","volume":"29","issue":"1","source":"Cambridge Core","abstract":"The shift to the use of shotguns from traditional hunting weapons has often been mentioned as one of the factors contributing to over-hunting in the tropics. It has also been argued that indigenous people using traditional hunting methods are conservationists because they do not over-exploit natural resources. A study of two Indian communities in south-eastern Peru, one of which hunted with guns and the other with traditional weapons, found that there was little difference in the amount of meat consumed per capita in each village and that shotgun hunters were no more exploitative than the traditional hunters.","DOI":"10.1017/S0030605300020883","ISSN":"1365-3008, 0030-6053","author":[{"family":"Alvard","given":"M."}],"issued":{"date-parts":[["1995",1]]}}}],"schema":"https://github.com/citation-style-language/schema/raw/master/csl-citation.json"} </w:instrText>
      </w:r>
      <w:r w:rsidR="00482D2A">
        <w:fldChar w:fldCharType="separate"/>
      </w:r>
      <w:r w:rsidR="00FD52E5">
        <w:rPr>
          <w:noProof/>
        </w:rPr>
        <w:t>[4]</w:t>
      </w:r>
      <w:r w:rsidR="00482D2A">
        <w:fldChar w:fldCharType="end"/>
      </w:r>
      <w:r w:rsidR="00061F7C">
        <w:t>.</w:t>
      </w:r>
      <w:r w:rsidR="00061F7C" w:rsidRPr="00061F7C">
        <w:rPr>
          <w:rFonts w:eastAsia="Times New Roman"/>
          <w:iCs/>
        </w:rPr>
        <w:t xml:space="preserve"> </w:t>
      </w:r>
      <w:r w:rsidR="00061F7C" w:rsidRPr="00231413">
        <w:rPr>
          <w:rFonts w:eastAsia="Times New Roman"/>
          <w:iCs/>
        </w:rPr>
        <w:t>Hunters generally target medium to large-bodied mammals</w:t>
      </w:r>
      <w:r w:rsidR="00061F7C">
        <w:rPr>
          <w:rFonts w:eastAsia="Times New Roman"/>
          <w:iCs/>
        </w:rPr>
        <w:t xml:space="preserve"> with shotguns by walking trails during the day or searching with flashlights at night </w:t>
      </w:r>
      <w:r w:rsidR="00482D2A">
        <w:rPr>
          <w:rFonts w:eastAsia="Times New Roman"/>
          <w:iCs/>
        </w:rPr>
        <w:fldChar w:fldCharType="begin"/>
      </w:r>
      <w:r w:rsidR="00010172">
        <w:rPr>
          <w:rFonts w:eastAsia="Times New Roman"/>
          <w:iCs/>
        </w:rPr>
        <w:instrText xml:space="preserve"> ADDIN ZOTERO_ITEM CSL_CITATION {"citationID":"Nb8cMCId","properties":{"formattedCitation":"[5]","plainCitation":"[5]","noteIndex":0},"citationItems":[{"id":2176,"uris":["http://zotero.org/users/1105362/items/ZHWEPGZ4"],"uri":["http://zotero.org/users/1105362/items/ZHWEPGZ4"],"itemData":{"id":2176,"type":"article-journal","title":"LED flashlight technology facilitates wild meat extraction across the tropics","container-title":"Frontiers in Ecology and the Environment","volume":"n/a","issue":"n/a","source":"Wiley Online Library","abstract":"Hunting for wild meat in the tropics provides subsistence and income for millions of people. Methods have remained relatively unchanged since the introduction of shotguns and battery-powered incandescent flashlights, but the short battery life of such flashlights has limited nocturnal hunting. However, hunters in many countries throughout the tropics have recently begun to switch to brighter and more efficient light-emitting diode (LED) flashlights. Such brighter spotlights stimulate the freeze response of many species, and improved battery life allows hunters to pursue game more often and for longer periods of time. Interviews with hunters in African and South American tropical forests revealed that LEDs increase the frequency and efficiency of nocturnal hunting, and subsequently the number of kills made. In Brazil, these findings were supported by harvest data. The marked change in efficiency brought about by LEDs, well known to hunters around the world, poses a major threat to wildlife. Here we consider the implications of the increasing use of LED lights in hunting for communities, governments, wildlife managers, and conservationists.","URL":"https://esajournals.onlinelibrary.wiley.com/doi/abs/10.1002/fee.2242","DOI":"10.1002/fee.2242","ISSN":"1540-9309","language":"en","author":[{"family":"Bowler","given":"Mark"},{"family":"Beirne","given":"Christopher"},{"family":"Tobler","given":"Mathias W."},{"family":"Anderson","given":"Matt"},{"family":"DiPaola","given":"Anna"},{"family":"Fa","given":"John E."},{"family":"Gilmore","given":"Michael P."},{"family":"Lemos","given":"Lisley P."},{"family":"Mayor","given":"Pedro"},{"family":"Meier","given":"Amelia"},{"family":"Menie","given":"Guillaume Menie"},{"family":"Meza","given":"Diana"},{"family":"Moreno‐Gutierrez","given":"Delia"},{"family":"Poulsen","given":"John R."},{"family":"Jesus","given":"Anamélia de Souza"},{"family":"Valsecchi","given":"João"},{"family":"Bizri","given":"Hani R. El"}],"accessed":{"date-parts":[["2020",9,10]]}}}],"schema":"https://github.com/citation-style-language/schema/raw/master/csl-citation.json"} </w:instrText>
      </w:r>
      <w:r w:rsidR="00482D2A">
        <w:rPr>
          <w:rFonts w:eastAsia="Times New Roman"/>
          <w:iCs/>
        </w:rPr>
        <w:fldChar w:fldCharType="separate"/>
      </w:r>
      <w:r w:rsidR="00010172">
        <w:rPr>
          <w:rFonts w:eastAsia="Times New Roman"/>
          <w:iCs/>
          <w:noProof/>
        </w:rPr>
        <w:t>[5]</w:t>
      </w:r>
      <w:r w:rsidR="00482D2A">
        <w:rPr>
          <w:rFonts w:eastAsia="Times New Roman"/>
          <w:iCs/>
        </w:rPr>
        <w:fldChar w:fldCharType="end"/>
      </w:r>
      <w:r w:rsidR="00061F7C">
        <w:rPr>
          <w:rFonts w:eastAsia="Times New Roman"/>
          <w:iCs/>
        </w:rPr>
        <w:t xml:space="preserve">. </w:t>
      </w:r>
    </w:p>
    <w:p w14:paraId="43518F85" w14:textId="7D8CA3AD" w:rsidR="00E422DD" w:rsidRPr="000B7FCD" w:rsidRDefault="00061F7C" w:rsidP="00CE00E0">
      <w:pPr>
        <w:spacing w:line="480" w:lineRule="auto"/>
        <w:ind w:firstLine="720"/>
        <w:rPr>
          <w:rFonts w:eastAsia="Times New Roman"/>
          <w:iCs/>
        </w:rPr>
      </w:pPr>
      <w:r>
        <w:t>Most large mammal</w:t>
      </w:r>
      <w:r w:rsidR="00FC7CB0">
        <w:t>s</w:t>
      </w:r>
      <w:r>
        <w:t xml:space="preserve"> in Amazonia visit m</w:t>
      </w:r>
      <w:r w:rsidRPr="00313BD4">
        <w:t xml:space="preserve">ineral </w:t>
      </w:r>
      <w:r w:rsidR="00E422DD" w:rsidRPr="00313BD4">
        <w:t>licks</w:t>
      </w:r>
      <w:r w:rsidR="00D62F75">
        <w:t>. Mineral licks are</w:t>
      </w:r>
      <w:r>
        <w:t xml:space="preserve"> </w:t>
      </w:r>
      <w:r w:rsidR="00E422DD" w:rsidRPr="00313BD4">
        <w:t xml:space="preserve">naturally occurring </w:t>
      </w:r>
      <w:r w:rsidR="00E422DD">
        <w:t>areas</w:t>
      </w:r>
      <w:r w:rsidR="00E422DD" w:rsidRPr="00313BD4">
        <w:t xml:space="preserve"> in the forest where animals </w:t>
      </w:r>
      <w:r w:rsidR="00D62F75">
        <w:t xml:space="preserve">exhibit </w:t>
      </w:r>
      <w:proofErr w:type="spellStart"/>
      <w:r w:rsidR="00D62F75">
        <w:t>geophagical</w:t>
      </w:r>
      <w:proofErr w:type="spellEnd"/>
      <w:r w:rsidR="00D62F75">
        <w:t xml:space="preserve"> behavior</w:t>
      </w:r>
      <w:r w:rsidR="00E422DD" w:rsidRPr="00313BD4">
        <w:t xml:space="preserve"> to obtain essential minerals lacking in their diet</w:t>
      </w:r>
      <w:r w:rsidR="00593C9E">
        <w:t xml:space="preserve"> </w:t>
      </w:r>
      <w:r w:rsidR="004F175F">
        <w:fldChar w:fldCharType="begin"/>
      </w:r>
      <w:r w:rsidR="00FD52E5">
        <w:instrText xml:space="preserve"> ADDIN ZOTERO_ITEM CSL_CITATION {"citationID":"XlYZL5ut","properties":{"formattedCitation":"[6]","plainCitation":"[6]","noteIndex":0},"citationItems":[{"id":2084,"uris":["http://zotero.org/users/1105362/items/DHNP335U"],"uri":["http://zotero.org/users/1105362/items/DHNP335U"],"itemData":{"id":2084,"type":"article-journal","title":"Chemical composition of lick soils: functions of soil ingestion by four ungulate species","container-title":"Journal of Mammalogy","page":"878–888","volume":"87","issue":"5","source":"Google Scholar","title-short":"Chemical composition of lick soils","author":[{"family":"Ayotte","given":"Jeremy B."},{"family":"Parker","given":"Katherine L."},{"family":"Arocena","given":"Joselito M."},{"family":"Gillingham","given":"Michael P."}],"issued":{"date-parts":[["2006"]]}}}],"schema":"https://github.com/citation-style-language/schema/raw/master/csl-citation.json"} </w:instrText>
      </w:r>
      <w:r w:rsidR="004F175F">
        <w:fldChar w:fldCharType="separate"/>
      </w:r>
      <w:r w:rsidR="00FD52E5">
        <w:rPr>
          <w:noProof/>
        </w:rPr>
        <w:t>[6]</w:t>
      </w:r>
      <w:r w:rsidR="004F175F">
        <w:fldChar w:fldCharType="end"/>
      </w:r>
      <w:r w:rsidR="00593C9E">
        <w:t xml:space="preserve"> </w:t>
      </w:r>
      <w:r w:rsidR="00D62F75">
        <w:t>or clays that</w:t>
      </w:r>
      <w:r w:rsidR="00593C9E">
        <w:t xml:space="preserve"> relieve indigestion caused by plant-based alkaloids </w:t>
      </w:r>
      <w:r w:rsidR="004F175F">
        <w:fldChar w:fldCharType="begin"/>
      </w:r>
      <w:r w:rsidR="00FD52E5">
        <w:instrText xml:space="preserve"> ADDIN ZOTERO_ITEM CSL_CITATION {"citationID":"j1lLdvGs","properties":{"formattedCitation":"[7]","plainCitation":"[7]","noteIndex":0},"citationItems":[{"id":2090,"uris":["http://zotero.org/users/1105362/items/5C9DQPWM"],"uri":["http://zotero.org/users/1105362/items/5C9DQPWM"],"itemData":{"id":2090,"type":"article-journal","title":"Clay mineralogical and related characteristics of geophagic materials","container-title":"Journal of chemical ecology","page":"1525–1547","volume":"29","issue":"7","source":"Google Scholar","author":[{"family":"Wilson","given":"M. J."}],"issued":{"date-parts":[["2003"]]}}}],"schema":"https://github.com/citation-style-language/schema/raw/master/csl-citation.json"} </w:instrText>
      </w:r>
      <w:r w:rsidR="004F175F">
        <w:fldChar w:fldCharType="separate"/>
      </w:r>
      <w:r w:rsidR="00FD52E5">
        <w:rPr>
          <w:noProof/>
        </w:rPr>
        <w:t>[7]</w:t>
      </w:r>
      <w:r w:rsidR="004F175F">
        <w:fldChar w:fldCharType="end"/>
      </w:r>
      <w:r w:rsidR="00E422DD" w:rsidRPr="00313BD4">
        <w:t>.</w:t>
      </w:r>
      <w:r w:rsidR="00E632CB">
        <w:t xml:space="preserve"> </w:t>
      </w:r>
      <w:r w:rsidR="00E422DD">
        <w:t xml:space="preserve">At undisturbed </w:t>
      </w:r>
      <w:r w:rsidR="00FC7CB0">
        <w:t xml:space="preserve">mineral </w:t>
      </w:r>
      <w:r w:rsidR="00E422DD">
        <w:t xml:space="preserve">licks, </w:t>
      </w:r>
      <w:r w:rsidR="00FC7CB0">
        <w:t xml:space="preserve">the ungulates, paca and </w:t>
      </w:r>
      <w:proofErr w:type="spellStart"/>
      <w:r w:rsidR="00FC7CB0">
        <w:t>ateline</w:t>
      </w:r>
      <w:proofErr w:type="spellEnd"/>
      <w:r w:rsidR="00FC7CB0">
        <w:t xml:space="preserve"> primates </w:t>
      </w:r>
      <w:r w:rsidR="00E422DD">
        <w:t xml:space="preserve">are the most common visitors </w:t>
      </w:r>
      <w:r w:rsidR="00046D51">
        <w:fldChar w:fldCharType="begin"/>
      </w:r>
      <w:r w:rsidR="00FD52E5">
        <w:instrText xml:space="preserve"> ADDIN ZOTERO_ITEM CSL_CITATION {"citationID":"TzbuSRPw","properties":{"formattedCitation":"[8]","plainCitation":"[8]","noteIndex":0},"citationItems":[{"id":2094,"uris":["http://zotero.org/users/1105362/items/AXLH6MFY"],"uri":["http://zotero.org/users/1105362/items/AXLH6MFY"],"itemData":{"id":2094,"type":"article-journal","title":"Habitat use, activity patterns and use of mineral licks by five species of ungulate in south-eastern Peru","container-title":"Journal of Tropical Ecology","page":"261–270","volume":"25","issue":"3","source":"Google Scholar","author":[{"family":"Tobler","given":"Mathias W."},{"family":"Carrillo-Percastegui","given":"Samia E."},{"family":"Powell","given":"George"}],"issued":{"date-parts":[["2009"]]}}}],"schema":"https://github.com/citation-style-language/schema/raw/master/csl-citation.json"} </w:instrText>
      </w:r>
      <w:r w:rsidR="00046D51">
        <w:fldChar w:fldCharType="separate"/>
      </w:r>
      <w:r w:rsidR="00FD52E5">
        <w:rPr>
          <w:noProof/>
        </w:rPr>
        <w:t>[8]</w:t>
      </w:r>
      <w:r w:rsidR="00046D51">
        <w:fldChar w:fldCharType="end"/>
      </w:r>
      <w:r w:rsidR="00046D51">
        <w:fldChar w:fldCharType="begin"/>
      </w:r>
      <w:r w:rsidR="00FD52E5">
        <w:instrText xml:space="preserve"> ADDIN ZOTERO_ITEM CSL_CITATION {"citationID":"Lj7f7MEK","properties":{"formattedCitation":"[9]","plainCitation":"[9]","noteIndex":0},"citationItems":[{"id":2097,"uris":["http://zotero.org/users/1105362/items/NR32ERXP"],"uri":["http://zotero.org/users/1105362/items/NR32ERXP"],"itemData":{"id":2097,"type":"article-journal","title":"Use of mineral licks by mammals and birds in hunted and non-hunted areas of Y asuní N ational P ark, E cuador","container-title":"Animal Conservation","page":"430–437","volume":"16","issue":"4","source":"Google Scholar","author":[{"family":"Blake","given":"J. G."},{"family":"Mosquera","given":"D."},{"family":"Salvador","given":"J."}],"issued":{"date-parts":[["2013"]]}}}],"schema":"https://github.com/citation-style-language/schema/raw/master/csl-citation.json"} </w:instrText>
      </w:r>
      <w:r w:rsidR="00046D51">
        <w:fldChar w:fldCharType="separate"/>
      </w:r>
      <w:r w:rsidR="00FD52E5">
        <w:rPr>
          <w:noProof/>
        </w:rPr>
        <w:t>[9]</w:t>
      </w:r>
      <w:r w:rsidR="00046D51">
        <w:fldChar w:fldCharType="end"/>
      </w:r>
      <w:r w:rsidR="0039441B">
        <w:t>.</w:t>
      </w:r>
      <w:r w:rsidR="00FC7CB0">
        <w:t xml:space="preserve"> The </w:t>
      </w:r>
      <w:r w:rsidR="00593C9E">
        <w:t xml:space="preserve">relatively high </w:t>
      </w:r>
      <w:r w:rsidR="00FC7CB0">
        <w:t xml:space="preserve">frequency </w:t>
      </w:r>
      <w:r w:rsidR="00D97A7F">
        <w:t xml:space="preserve">of </w:t>
      </w:r>
      <w:r w:rsidR="00FC7CB0">
        <w:t>visits by the</w:t>
      </w:r>
      <w:r w:rsidR="00140A65">
        <w:t>se</w:t>
      </w:r>
      <w:r w:rsidR="00FC7CB0">
        <w:t xml:space="preserve"> sought-after game species means that mineral licks are prime locations for hunting, </w:t>
      </w:r>
      <w:r w:rsidR="00E422DD">
        <w:t>and hunting at mineral licks</w:t>
      </w:r>
      <w:r w:rsidR="00E422DD">
        <w:rPr>
          <w:rFonts w:eastAsia="Times New Roman"/>
          <w:iCs/>
        </w:rPr>
        <w:t xml:space="preserve"> accounts for up to 30% of all harvested biomass at some sites</w:t>
      </w:r>
      <w:r w:rsidR="00E422DD">
        <w:t xml:space="preserve"> </w:t>
      </w:r>
      <w:r w:rsidR="00F12F68">
        <w:fldChar w:fldCharType="begin"/>
      </w:r>
      <w:r w:rsidR="00FD52E5">
        <w:instrText xml:space="preserve"> ADDIN ZOTERO_ITEM CSL_CITATION {"citationID":"BFhIfX16","properties":{"formattedCitation":"[10]","plainCitation":"[10]","noteIndex":0},"citationItems":[{"id":2100,"uris":["http://zotero.org/users/1105362/items/2PDG5FXK"],"uri":["http://zotero.org/users/1105362/items/2PDG5FXK"],"itemData":{"id":2100,"type":"book","title":"Natural licks as keystone resources for wildlife and people in Amazonia","publisher":"University of Florida","source":"Google Scholar","author":[{"family":"Montenegro","given":"Olga Lucia"}],"issued":{"date-parts":[["2004"]]}}}],"schema":"https://github.com/citation-style-language/schema/raw/master/csl-citation.json"} </w:instrText>
      </w:r>
      <w:r w:rsidR="00F12F68">
        <w:fldChar w:fldCharType="separate"/>
      </w:r>
      <w:r w:rsidR="00FD52E5">
        <w:rPr>
          <w:noProof/>
        </w:rPr>
        <w:t>[10]</w:t>
      </w:r>
      <w:r w:rsidR="00F12F68">
        <w:fldChar w:fldCharType="end"/>
      </w:r>
      <w:r w:rsidR="00F12F68">
        <w:fldChar w:fldCharType="begin"/>
      </w:r>
      <w:r w:rsidR="00FD52E5">
        <w:instrText xml:space="preserve"> ADDIN ZOTERO_ITEM CSL_CITATION {"citationID":"3lnyuD8B","properties":{"formattedCitation":"[11]","plainCitation":"[11]","noteIndex":0},"citationItems":[{"id":2102,"uris":["http://zotero.org/users/1105362/items/I894HXQ6"],"uri":["http://zotero.org/users/1105362/items/I894HXQ6"],"itemData":{"id":2102,"type":"article-journal","title":"Assessment of mammal reproduction for hunting sustainability through community-based sampling of species in the wild","container-title":"Conservation biology","page":"912–923","volume":"31","issue":"4","source":"Google Scholar","author":[{"family":"Mayor","given":"Pedro"},{"family":"El Bizri","given":"Hani"},{"family":"Bodmer","given":"Richard E."},{"family":"Bowler","given":"Mark"}],"issued":{"date-parts":[["2017"]]}}}],"schema":"https://github.com/citation-style-language/schema/raw/master/csl-citation.json"} </w:instrText>
      </w:r>
      <w:r w:rsidR="00F12F68">
        <w:fldChar w:fldCharType="separate"/>
      </w:r>
      <w:r w:rsidR="00FD52E5">
        <w:rPr>
          <w:noProof/>
        </w:rPr>
        <w:t>[11]</w:t>
      </w:r>
      <w:r w:rsidR="00F12F68">
        <w:fldChar w:fldCharType="end"/>
      </w:r>
      <w:r w:rsidR="00E422DD">
        <w:t>. Tapir and white-lipped peccary</w:t>
      </w:r>
      <w:r w:rsidR="00E422DD" w:rsidRPr="00313BD4">
        <w:t xml:space="preserve"> come from afar to use mineral licks, which means that </w:t>
      </w:r>
      <w:r w:rsidR="00E422DD">
        <w:t xml:space="preserve">these </w:t>
      </w:r>
      <w:r w:rsidR="00E422DD" w:rsidRPr="00313BD4">
        <w:t>vulnerable species can be extirpated from a large area simply by concentrated hunting at these focal points</w:t>
      </w:r>
      <w:r w:rsidR="00E422DD">
        <w:t xml:space="preserve"> </w:t>
      </w:r>
      <w:r w:rsidR="00F12F68">
        <w:fldChar w:fldCharType="begin"/>
      </w:r>
      <w:r w:rsidR="00FD52E5">
        <w:instrText xml:space="preserve"> ADDIN ZOTERO_ITEM CSL_CITATION {"citationID":"2YkE0lrg","properties":{"formattedCitation":"[12]","plainCitation":"[12]","noteIndex":0},"citationItems":[{"id":2105,"uris":["http://zotero.org/users/1105362/items/TXCWC9HH"],"uri":["http://zotero.org/users/1105362/items/TXCWC9HH"],"itemData":{"id":2105,"type":"book","title":"The ecology of the lowland tapir in Madre de Dios, Peru: Usingnew technologies to study large rainforest mammals","publisher":"Texas A&amp;M University","source":"Google Scholar","title-short":"The ecology of the lowland tapir in Madre de Dios, Peru","author":[{"family":"Tobler","given":"Mathias Werner"}],"issued":{"date-parts":[["2008"]]}}}],"schema":"https://github.com/citation-style-language/schema/raw/master/csl-citation.json"} </w:instrText>
      </w:r>
      <w:r w:rsidR="00F12F68">
        <w:fldChar w:fldCharType="separate"/>
      </w:r>
      <w:r w:rsidR="00FD52E5">
        <w:rPr>
          <w:noProof/>
        </w:rPr>
        <w:t>[12]</w:t>
      </w:r>
      <w:r w:rsidR="00F12F68">
        <w:fldChar w:fldCharType="end"/>
      </w:r>
      <w:r w:rsidR="00E422DD" w:rsidRPr="00313BD4">
        <w:t xml:space="preserve">. </w:t>
      </w:r>
    </w:p>
    <w:p w14:paraId="190526A6" w14:textId="12800CAD" w:rsidR="00FA7F88" w:rsidRPr="00FA7F88" w:rsidRDefault="00FA7F88" w:rsidP="00CE00E0">
      <w:pPr>
        <w:spacing w:line="480" w:lineRule="auto"/>
        <w:ind w:firstLine="720"/>
      </w:pPr>
      <w:r w:rsidRPr="00FA7F88">
        <w:rPr>
          <w:lang w:val="en"/>
        </w:rPr>
        <w:t xml:space="preserve">The </w:t>
      </w:r>
      <w:proofErr w:type="spellStart"/>
      <w:r w:rsidRPr="00FA7F88">
        <w:rPr>
          <w:lang w:val="en"/>
        </w:rPr>
        <w:t>Maijuna-Kichwa</w:t>
      </w:r>
      <w:proofErr w:type="spellEnd"/>
      <w:r w:rsidRPr="00FA7F88">
        <w:rPr>
          <w:lang w:val="en"/>
        </w:rPr>
        <w:t xml:space="preserve"> Regional Conservation Area (MKRCA) is one of the Peruvian Amazon’s newest protected areas, comprising 391,0</w:t>
      </w:r>
      <w:r w:rsidR="00924BD0">
        <w:rPr>
          <w:lang w:val="en"/>
        </w:rPr>
        <w:t>39</w:t>
      </w:r>
      <w:r w:rsidR="00AB4912">
        <w:rPr>
          <w:lang w:val="en"/>
        </w:rPr>
        <w:t>.82</w:t>
      </w:r>
      <w:r w:rsidRPr="00FA7F88">
        <w:rPr>
          <w:lang w:val="en"/>
        </w:rPr>
        <w:t xml:space="preserve"> hectares of </w:t>
      </w:r>
      <w:proofErr w:type="spellStart"/>
      <w:r w:rsidRPr="00FA7F88">
        <w:rPr>
          <w:lang w:val="en"/>
        </w:rPr>
        <w:t>Maijuna</w:t>
      </w:r>
      <w:proofErr w:type="spellEnd"/>
      <w:r w:rsidRPr="00FA7F88">
        <w:rPr>
          <w:lang w:val="en"/>
        </w:rPr>
        <w:t xml:space="preserve"> </w:t>
      </w:r>
      <w:r w:rsidR="00F00611">
        <w:rPr>
          <w:lang w:val="en"/>
        </w:rPr>
        <w:t>I</w:t>
      </w:r>
      <w:r w:rsidRPr="00FA7F88">
        <w:rPr>
          <w:lang w:val="en"/>
        </w:rPr>
        <w:t xml:space="preserve">ndigenous territory. </w:t>
      </w:r>
      <w:r w:rsidR="00AB4912">
        <w:t>T</w:t>
      </w:r>
      <w:r w:rsidRPr="00FA7F88">
        <w:t xml:space="preserve">he </w:t>
      </w:r>
      <w:proofErr w:type="spellStart"/>
      <w:r w:rsidRPr="00FA7F88">
        <w:t>Maijuna</w:t>
      </w:r>
      <w:proofErr w:type="spellEnd"/>
      <w:r w:rsidRPr="00FA7F88">
        <w:t xml:space="preserve"> </w:t>
      </w:r>
      <w:r w:rsidR="00EB5B25">
        <w:t>are</w:t>
      </w:r>
      <w:r w:rsidR="00EB5B25" w:rsidRPr="00FA7F88">
        <w:t xml:space="preserve"> </w:t>
      </w:r>
      <w:r w:rsidRPr="00FA7F88">
        <w:t xml:space="preserve">one of the smallest and most </w:t>
      </w:r>
      <w:r w:rsidR="00D613E0">
        <w:t>vulnerable</w:t>
      </w:r>
      <w:r w:rsidRPr="00FA7F88">
        <w:t xml:space="preserve"> </w:t>
      </w:r>
      <w:r w:rsidR="00F00611">
        <w:t>I</w:t>
      </w:r>
      <w:r w:rsidRPr="00FA7F88">
        <w:t xml:space="preserve">ndigenous groups in Peru </w:t>
      </w:r>
      <w:r w:rsidR="00FF4D0E">
        <w:fldChar w:fldCharType="begin"/>
      </w:r>
      <w:r w:rsidR="00FD52E5">
        <w:instrText xml:space="preserve"> ADDIN ZOTERO_ITEM CSL_CITATION {"citationID":"kPWkqU4p","properties":{"formattedCitation":"[13]","plainCitation":"[13]","noteIndex":0},"citationItems":[{"id":2107,"uris":["http://zotero.org/users/1105362/items/YP4GVTHC"],"uri":["http://zotero.org/users/1105362/items/YP4GVTHC"],"itemData":{"id":2107,"type":"article-journal","title":"The Maijuna: past, present, and future","container-title":"Perú: Maijuna, Rapid biological and social inventories Report","page":"226–233","volume":"22","source":"Google Scholar","title-short":"The Maijuna","author":[{"family":"Gilmore","given":"Michael P."}],"issued":{"date-parts":[["2010"]]}}}],"schema":"https://github.com/citation-style-language/schema/raw/master/csl-citation.json"} </w:instrText>
      </w:r>
      <w:r w:rsidR="00FF4D0E">
        <w:fldChar w:fldCharType="separate"/>
      </w:r>
      <w:r w:rsidR="00FD52E5">
        <w:rPr>
          <w:noProof/>
        </w:rPr>
        <w:t>[13]</w:t>
      </w:r>
      <w:r w:rsidR="00FF4D0E">
        <w:fldChar w:fldCharType="end"/>
      </w:r>
      <w:r w:rsidRPr="00FA7F88">
        <w:t xml:space="preserve">. Their ancestral forests sustain and nourish the </w:t>
      </w:r>
      <w:proofErr w:type="spellStart"/>
      <w:r w:rsidRPr="00FA7F88">
        <w:t>Maijuna</w:t>
      </w:r>
      <w:proofErr w:type="spellEnd"/>
      <w:r w:rsidRPr="00FA7F88">
        <w:t xml:space="preserve"> culture, making it critically important to effectively manage and protect the area. In addition to its cultural importance, the MKRCA is one of the most biologically rich places on Earth and an</w:t>
      </w:r>
      <w:r w:rsidRPr="00FA7F88">
        <w:rPr>
          <w:lang w:val="en"/>
        </w:rPr>
        <w:t xml:space="preserve"> extremely valuable carbon sink </w:t>
      </w:r>
      <w:r w:rsidR="00FF4D0E">
        <w:rPr>
          <w:lang w:val="en"/>
        </w:rPr>
        <w:fldChar w:fldCharType="begin"/>
      </w:r>
      <w:r w:rsidR="00FD52E5">
        <w:rPr>
          <w:lang w:val="en"/>
        </w:rPr>
        <w:instrText xml:space="preserve"> ADDIN ZOTERO_ITEM CSL_CITATION {"citationID":"7atvZCby","properties":{"formattedCitation":"[14]","plainCitation":"[14]","noteIndex":0},"citationItems":[{"id":2111,"uris":["http://zotero.org/users/1105362/items/TMJP7NRR"],"uri":["http://zotero.org/users/1105362/items/TMJP7NRR"],"itemData":{"id":2111,"type":"book","title":"Perú: Maijuna","publisher":"Field Museum, Environment, Culture and Conservation","source":"Google Scholar","title-short":"Perú","author":[{"family":"Gilmore","given":"Michael P."},{"family":"Vriesendorp","given":"Corine"},{"family":"Alverson","given":"William Surprison"},{"family":"Von May","given":"Rudolf"},{"family":"Wong","given":"Cristina López"},{"family":"Ochoa","given":"Sebastián Ríos"}],"issued":{"date-parts":[["2010"]]}}}],"schema":"https://github.com/citation-style-language/schema/raw/master/csl-citation.json"} </w:instrText>
      </w:r>
      <w:r w:rsidR="00FF4D0E">
        <w:rPr>
          <w:lang w:val="en"/>
        </w:rPr>
        <w:fldChar w:fldCharType="separate"/>
      </w:r>
      <w:r w:rsidR="00FD52E5">
        <w:rPr>
          <w:noProof/>
          <w:lang w:val="en"/>
        </w:rPr>
        <w:t>[14]</w:t>
      </w:r>
      <w:r w:rsidR="00FF4D0E">
        <w:rPr>
          <w:lang w:val="en"/>
        </w:rPr>
        <w:fldChar w:fldCharType="end"/>
      </w:r>
      <w:r w:rsidRPr="00FA7F88">
        <w:rPr>
          <w:lang w:val="en"/>
        </w:rPr>
        <w:t>.</w:t>
      </w:r>
    </w:p>
    <w:p w14:paraId="244DA5B7" w14:textId="3874A03F" w:rsidR="00593C9E" w:rsidRDefault="00FA7F88" w:rsidP="00CE00E0">
      <w:pPr>
        <w:spacing w:line="480" w:lineRule="auto"/>
        <w:ind w:firstLine="720"/>
      </w:pPr>
      <w:r w:rsidRPr="00FA7F88">
        <w:t xml:space="preserve">The MKRCA is a powerful example of community-based conservation. The </w:t>
      </w:r>
      <w:proofErr w:type="spellStart"/>
      <w:r w:rsidRPr="00FA7F88">
        <w:t>Maijuna</w:t>
      </w:r>
      <w:proofErr w:type="spellEnd"/>
      <w:r w:rsidRPr="00FA7F88">
        <w:t xml:space="preserve"> originally conceived the idea for conserving this area and they pushed relentlessly </w:t>
      </w:r>
      <w:r w:rsidR="00593C9E">
        <w:t>for its creation</w:t>
      </w:r>
      <w:r w:rsidRPr="00FA7F88">
        <w:t xml:space="preserve">. </w:t>
      </w:r>
      <w:r w:rsidRPr="00FA7F88">
        <w:rPr>
          <w:iCs/>
        </w:rPr>
        <w:t xml:space="preserve">After centuries of being marginalized and disempowered by outsiders, the </w:t>
      </w:r>
      <w:proofErr w:type="spellStart"/>
      <w:r w:rsidRPr="00FA7F88">
        <w:rPr>
          <w:iCs/>
        </w:rPr>
        <w:t>Maijuna</w:t>
      </w:r>
      <w:proofErr w:type="spellEnd"/>
      <w:r w:rsidRPr="00FA7F88">
        <w:rPr>
          <w:iCs/>
        </w:rPr>
        <w:t xml:space="preserve"> established an </w:t>
      </w:r>
      <w:r w:rsidR="00F00611">
        <w:rPr>
          <w:iCs/>
        </w:rPr>
        <w:t>I</w:t>
      </w:r>
      <w:r w:rsidRPr="00FA7F88">
        <w:rPr>
          <w:iCs/>
        </w:rPr>
        <w:t xml:space="preserve">ndigenous federation in 2004 focused on conserving their lands and culture </w:t>
      </w:r>
      <w:r w:rsidR="00914EC8">
        <w:rPr>
          <w:iCs/>
        </w:rPr>
        <w:fldChar w:fldCharType="begin"/>
      </w:r>
      <w:r w:rsidR="00FD52E5">
        <w:rPr>
          <w:iCs/>
        </w:rPr>
        <w:instrText xml:space="preserve"> ADDIN ZOTERO_ITEM CSL_CITATION {"citationID":"drbGwRUG","properties":{"formattedCitation":"[13]","plainCitation":"[13]","noteIndex":0},"citationItems":[{"id":2107,"uris":["http://zotero.org/users/1105362/items/YP4GVTHC"],"uri":["http://zotero.org/users/1105362/items/YP4GVTHC"],"itemData":{"id":2107,"type":"article-journal","title":"The Maijuna: past, present, and future","container-title":"Perú: Maijuna, Rapid biological and social inventories Report","page":"226–233","volume":"22","source":"Google Scholar","title-short":"The Maijuna","author":[{"family":"Gilmore","given":"Michael P."}],"issued":{"date-parts":[["2010"]]}}}],"schema":"https://github.com/citation-style-language/schema/raw/master/csl-citation.json"} </w:instrText>
      </w:r>
      <w:r w:rsidR="00914EC8">
        <w:rPr>
          <w:iCs/>
        </w:rPr>
        <w:fldChar w:fldCharType="separate"/>
      </w:r>
      <w:r w:rsidR="00FD52E5">
        <w:rPr>
          <w:iCs/>
          <w:noProof/>
        </w:rPr>
        <w:t>[13]</w:t>
      </w:r>
      <w:r w:rsidR="00914EC8">
        <w:rPr>
          <w:iCs/>
        </w:rPr>
        <w:fldChar w:fldCharType="end"/>
      </w:r>
      <w:r w:rsidRPr="00FA7F88">
        <w:rPr>
          <w:iCs/>
        </w:rPr>
        <w:t xml:space="preserve">. Against steep odds, they successfully fought to end exploitive logging and poaching on their </w:t>
      </w:r>
      <w:r w:rsidRPr="00FA7F88">
        <w:rPr>
          <w:iCs/>
        </w:rPr>
        <w:lastRenderedPageBreak/>
        <w:t xml:space="preserve">lands in 2009 and, with the help of </w:t>
      </w:r>
      <w:r>
        <w:rPr>
          <w:iCs/>
        </w:rPr>
        <w:t>allies</w:t>
      </w:r>
      <w:r w:rsidRPr="00FA7F88">
        <w:rPr>
          <w:iCs/>
        </w:rPr>
        <w:t xml:space="preserve">, successfully persuaded the Peruvian Government to create the MKRCA in 2015. </w:t>
      </w:r>
      <w:r w:rsidRPr="00231413">
        <w:t xml:space="preserve">The </w:t>
      </w:r>
      <w:proofErr w:type="spellStart"/>
      <w:r w:rsidRPr="00231413">
        <w:t>Maijuna</w:t>
      </w:r>
      <w:proofErr w:type="spellEnd"/>
      <w:r w:rsidRPr="00231413">
        <w:t xml:space="preserve"> are committed to effectively manage the MKRCA and its resources. Of </w:t>
      </w:r>
      <w:proofErr w:type="gramStart"/>
      <w:r w:rsidRPr="00231413">
        <w:t>particular interest</w:t>
      </w:r>
      <w:proofErr w:type="gramEnd"/>
      <w:r w:rsidRPr="00231413">
        <w:t xml:space="preserve"> to the </w:t>
      </w:r>
      <w:proofErr w:type="spellStart"/>
      <w:r w:rsidRPr="00231413">
        <w:t>Maijuna</w:t>
      </w:r>
      <w:proofErr w:type="spellEnd"/>
      <w:r w:rsidRPr="00231413">
        <w:t xml:space="preserve"> are </w:t>
      </w:r>
      <w:r>
        <w:t>medium to large-bodied</w:t>
      </w:r>
      <w:r w:rsidRPr="00231413">
        <w:t xml:space="preserve"> mammals, such as tapir and </w:t>
      </w:r>
      <w:r w:rsidRPr="00231413">
        <w:rPr>
          <w:iCs/>
        </w:rPr>
        <w:t>white-lipped peccary,</w:t>
      </w:r>
      <w:r w:rsidRPr="00231413">
        <w:t xml:space="preserve"> that were severely overhunted by loggers and poachers until 2009.</w:t>
      </w:r>
    </w:p>
    <w:p w14:paraId="23093A15" w14:textId="2658D58D" w:rsidR="002105B9" w:rsidRDefault="00140A65" w:rsidP="00CE00E0">
      <w:pPr>
        <w:spacing w:line="480" w:lineRule="auto"/>
        <w:ind w:firstLine="720"/>
      </w:pPr>
      <w:r>
        <w:t>U</w:t>
      </w:r>
      <w:r w:rsidR="00FA7F88">
        <w:t>nderstand</w:t>
      </w:r>
      <w:r>
        <w:t>ing</w:t>
      </w:r>
      <w:r w:rsidR="00FA7F88">
        <w:t xml:space="preserve"> the socio-cultural importance of mineral licks to the </w:t>
      </w:r>
      <w:proofErr w:type="spellStart"/>
      <w:r w:rsidR="00FA7F88">
        <w:t>Maijuna</w:t>
      </w:r>
      <w:proofErr w:type="spellEnd"/>
      <w:r>
        <w:t xml:space="preserve">, and the way they are currently and traditionally used, </w:t>
      </w:r>
      <w:r w:rsidR="005669E2">
        <w:t>are the</w:t>
      </w:r>
      <w:r w:rsidR="002105B9">
        <w:t xml:space="preserve"> first step</w:t>
      </w:r>
      <w:r w:rsidR="005669E2">
        <w:t>s</w:t>
      </w:r>
      <w:r w:rsidR="002105B9">
        <w:t xml:space="preserve"> in</w:t>
      </w:r>
      <w:r>
        <w:t xml:space="preserve"> understanding how wildlife </w:t>
      </w:r>
      <w:r w:rsidR="005669E2">
        <w:t>populations</w:t>
      </w:r>
      <w:r>
        <w:t xml:space="preserve"> are affected by </w:t>
      </w:r>
      <w:r w:rsidR="005669E2">
        <w:t xml:space="preserve">hunting around mineral licks and whether mineral lick management might be a useful strategy in </w:t>
      </w:r>
      <w:r w:rsidR="00593C9E">
        <w:t>conserving</w:t>
      </w:r>
      <w:r w:rsidR="005669E2">
        <w:t xml:space="preserve"> mammal populations and </w:t>
      </w:r>
      <w:r w:rsidR="00593C9E">
        <w:t xml:space="preserve">safeguarding </w:t>
      </w:r>
      <w:r w:rsidR="005669E2">
        <w:t>food security in rural Amazonia.</w:t>
      </w:r>
      <w:r w:rsidR="00B93BFE">
        <w:t xml:space="preserve"> </w:t>
      </w:r>
      <w:r w:rsidR="005669E2">
        <w:t xml:space="preserve">Such understanding is also required to </w:t>
      </w:r>
      <w:r w:rsidR="00FA7F88">
        <w:t xml:space="preserve">ensure that </w:t>
      </w:r>
      <w:r w:rsidR="005669E2">
        <w:t xml:space="preserve">any </w:t>
      </w:r>
      <w:r w:rsidR="006673A4">
        <w:t xml:space="preserve">management </w:t>
      </w:r>
      <w:r w:rsidR="00FA7F88">
        <w:t xml:space="preserve">plans </w:t>
      </w:r>
      <w:r w:rsidR="002105B9">
        <w:t>that are ultimately developed</w:t>
      </w:r>
      <w:r w:rsidR="005669E2">
        <w:t xml:space="preserve"> </w:t>
      </w:r>
      <w:r w:rsidR="000F099F">
        <w:t xml:space="preserve">for the MKRCA </w:t>
      </w:r>
      <w:r w:rsidR="00FA7F88">
        <w:t xml:space="preserve">incorporate and account for the multiple cultural and economic needs of the </w:t>
      </w:r>
      <w:proofErr w:type="spellStart"/>
      <w:r w:rsidR="00FA7F88">
        <w:t>Maijuna</w:t>
      </w:r>
      <w:proofErr w:type="spellEnd"/>
      <w:r w:rsidR="00FA7F88">
        <w:t xml:space="preserve"> while also </w:t>
      </w:r>
      <w:r w:rsidR="002105B9">
        <w:t>striving toward</w:t>
      </w:r>
      <w:r w:rsidR="00FA7F88">
        <w:t xml:space="preserve"> ecological </w:t>
      </w:r>
      <w:r w:rsidR="002105B9">
        <w:t>stability</w:t>
      </w:r>
      <w:r w:rsidR="00FA7F88">
        <w:t xml:space="preserve">. </w:t>
      </w:r>
      <w:r w:rsidR="005669E2">
        <w:t>Here</w:t>
      </w:r>
      <w:r w:rsidR="00FA7F88">
        <w:t xml:space="preserve"> we</w:t>
      </w:r>
      <w:r w:rsidR="000F099F">
        <w:t xml:space="preserve"> </w:t>
      </w:r>
      <w:r w:rsidR="002105B9" w:rsidRPr="00FA7F88">
        <w:t xml:space="preserve">assess the significance of </w:t>
      </w:r>
      <w:r w:rsidR="002105B9">
        <w:t>mineral licks</w:t>
      </w:r>
      <w:r w:rsidR="002105B9" w:rsidRPr="00FA7F88">
        <w:t xml:space="preserve"> and their associated</w:t>
      </w:r>
      <w:r w:rsidR="002105B9">
        <w:t xml:space="preserve"> </w:t>
      </w:r>
      <w:r w:rsidR="002105B9" w:rsidRPr="00FA7F88">
        <w:t xml:space="preserve">animal resources to the </w:t>
      </w:r>
      <w:proofErr w:type="spellStart"/>
      <w:r w:rsidR="002105B9" w:rsidRPr="00FA7F88">
        <w:t>Maijuna</w:t>
      </w:r>
      <w:proofErr w:type="spellEnd"/>
      <w:r w:rsidR="002105B9" w:rsidRPr="00FA7F88">
        <w:t xml:space="preserve"> and document changing relationships between</w:t>
      </w:r>
      <w:r w:rsidR="002105B9">
        <w:t xml:space="preserve"> </w:t>
      </w:r>
      <w:r w:rsidR="002105B9" w:rsidRPr="00FA7F88">
        <w:t xml:space="preserve">the </w:t>
      </w:r>
      <w:proofErr w:type="spellStart"/>
      <w:r w:rsidR="002105B9" w:rsidRPr="00FA7F88">
        <w:t>Maijuna</w:t>
      </w:r>
      <w:proofErr w:type="spellEnd"/>
      <w:r w:rsidR="002105B9" w:rsidRPr="00FA7F88">
        <w:t xml:space="preserve"> and </w:t>
      </w:r>
      <w:r w:rsidR="002105B9">
        <w:t>mineral licks</w:t>
      </w:r>
      <w:r w:rsidR="002105B9" w:rsidRPr="00FA7F88">
        <w:t xml:space="preserve"> over </w:t>
      </w:r>
      <w:r w:rsidR="002105B9">
        <w:t>time</w:t>
      </w:r>
      <w:r w:rsidR="002105B9" w:rsidRPr="00FA7F88">
        <w:t>.</w:t>
      </w:r>
    </w:p>
    <w:p w14:paraId="47434906" w14:textId="7E87D471" w:rsidR="00F93ECD" w:rsidRDefault="00F93ECD" w:rsidP="00CE00E0">
      <w:pPr>
        <w:spacing w:line="480" w:lineRule="auto"/>
      </w:pPr>
    </w:p>
    <w:p w14:paraId="62C14539" w14:textId="1E1D93B8" w:rsidR="00F93ECD" w:rsidRPr="00F93ECD" w:rsidRDefault="00F93ECD" w:rsidP="00CE00E0">
      <w:pPr>
        <w:spacing w:line="480" w:lineRule="auto"/>
        <w:rPr>
          <w:b/>
          <w:bCs/>
        </w:rPr>
      </w:pPr>
      <w:r w:rsidRPr="00F93ECD">
        <w:rPr>
          <w:b/>
          <w:bCs/>
        </w:rPr>
        <w:t>Methods</w:t>
      </w:r>
    </w:p>
    <w:p w14:paraId="799EC3F5" w14:textId="77777777" w:rsidR="00F93ECD" w:rsidRDefault="00F93ECD" w:rsidP="00CE00E0">
      <w:pPr>
        <w:spacing w:line="480" w:lineRule="auto"/>
      </w:pPr>
    </w:p>
    <w:p w14:paraId="1239F780" w14:textId="3749D16C" w:rsidR="00F93ECD" w:rsidRPr="00F93ECD" w:rsidRDefault="00F93ECD" w:rsidP="00CE00E0">
      <w:pPr>
        <w:spacing w:line="480" w:lineRule="auto"/>
        <w:rPr>
          <w:u w:val="single"/>
        </w:rPr>
      </w:pPr>
      <w:r w:rsidRPr="00F93ECD">
        <w:rPr>
          <w:u w:val="single"/>
        </w:rPr>
        <w:t xml:space="preserve">Study </w:t>
      </w:r>
      <w:r w:rsidR="00672CFC">
        <w:rPr>
          <w:u w:val="single"/>
        </w:rPr>
        <w:t>area</w:t>
      </w:r>
    </w:p>
    <w:p w14:paraId="7A185D50" w14:textId="309BC8C2" w:rsidR="00F93ECD" w:rsidRDefault="00F93ECD" w:rsidP="00CE00E0">
      <w:pPr>
        <w:spacing w:line="480" w:lineRule="auto"/>
      </w:pPr>
    </w:p>
    <w:p w14:paraId="24D3D406" w14:textId="5A920947" w:rsidR="008225F3" w:rsidRPr="00353308" w:rsidRDefault="008225F3" w:rsidP="00CE00E0">
      <w:pPr>
        <w:spacing w:line="480" w:lineRule="auto"/>
        <w:ind w:firstLine="720"/>
        <w:rPr>
          <w:iCs/>
        </w:rPr>
      </w:pPr>
      <w:r w:rsidRPr="00353308">
        <w:rPr>
          <w:iCs/>
        </w:rPr>
        <w:t xml:space="preserve">The </w:t>
      </w:r>
      <w:proofErr w:type="spellStart"/>
      <w:r w:rsidRPr="00353308">
        <w:rPr>
          <w:iCs/>
        </w:rPr>
        <w:t>Maijuna</w:t>
      </w:r>
      <w:proofErr w:type="spellEnd"/>
      <w:r w:rsidRPr="00353308">
        <w:rPr>
          <w:iCs/>
        </w:rPr>
        <w:t xml:space="preserve">, also known as the </w:t>
      </w:r>
      <w:proofErr w:type="spellStart"/>
      <w:r w:rsidRPr="00353308">
        <w:rPr>
          <w:iCs/>
        </w:rPr>
        <w:t>Orejón</w:t>
      </w:r>
      <w:proofErr w:type="spellEnd"/>
      <w:r w:rsidRPr="00353308">
        <w:rPr>
          <w:iCs/>
        </w:rPr>
        <w:t xml:space="preserve">, are a western </w:t>
      </w:r>
      <w:proofErr w:type="spellStart"/>
      <w:r w:rsidRPr="00353308">
        <w:rPr>
          <w:iCs/>
        </w:rPr>
        <w:t>Tucanoan</w:t>
      </w:r>
      <w:proofErr w:type="spellEnd"/>
      <w:r w:rsidRPr="00353308">
        <w:rPr>
          <w:iCs/>
        </w:rPr>
        <w:t xml:space="preserve"> people of the northeastern Peruvian Amazon </w:t>
      </w:r>
      <w:r w:rsidR="00914EC8">
        <w:rPr>
          <w:iCs/>
        </w:rPr>
        <w:fldChar w:fldCharType="begin"/>
      </w:r>
      <w:r w:rsidR="00FD52E5">
        <w:rPr>
          <w:iCs/>
        </w:rPr>
        <w:instrText xml:space="preserve"> ADDIN ZOTERO_ITEM CSL_CITATION {"citationID":"Tm1l2Hjy","properties":{"formattedCitation":"[13]","plainCitation":"[13]","noteIndex":0},"citationItems":[{"id":2107,"uris":["http://zotero.org/users/1105362/items/YP4GVTHC"],"uri":["http://zotero.org/users/1105362/items/YP4GVTHC"],"itemData":{"id":2107,"type":"article-journal","title":"The Maijuna: past, present, and future","container-title":"Perú: Maijuna, Rapid biological and social inventories Report","page":"226–233","volume":"22","source":"Google Scholar","title-short":"The Maijuna","author":[{"family":"Gilmore","given":"Michael P."}],"issued":{"date-parts":[["2010"]]}}}],"schema":"https://github.com/citation-style-language/schema/raw/master/csl-citation.json"} </w:instrText>
      </w:r>
      <w:r w:rsidR="00914EC8">
        <w:rPr>
          <w:iCs/>
        </w:rPr>
        <w:fldChar w:fldCharType="separate"/>
      </w:r>
      <w:r w:rsidR="00FD52E5">
        <w:rPr>
          <w:iCs/>
          <w:noProof/>
        </w:rPr>
        <w:t>[13]</w:t>
      </w:r>
      <w:r w:rsidR="00914EC8">
        <w:rPr>
          <w:iCs/>
        </w:rPr>
        <w:fldChar w:fldCharType="end"/>
      </w:r>
      <w:r w:rsidRPr="00353308">
        <w:rPr>
          <w:iCs/>
        </w:rPr>
        <w:t xml:space="preserve">. Today, there are </w:t>
      </w:r>
      <w:r w:rsidR="00EA026D">
        <w:rPr>
          <w:iCs/>
        </w:rPr>
        <w:t>fewer</w:t>
      </w:r>
      <w:r w:rsidR="00EA026D" w:rsidRPr="00353308">
        <w:rPr>
          <w:iCs/>
        </w:rPr>
        <w:t xml:space="preserve"> </w:t>
      </w:r>
      <w:r w:rsidRPr="00353308">
        <w:rPr>
          <w:iCs/>
        </w:rPr>
        <w:t xml:space="preserve">than 500 individuals living in four </w:t>
      </w:r>
      <w:proofErr w:type="spellStart"/>
      <w:r w:rsidR="00EA026D">
        <w:rPr>
          <w:iCs/>
        </w:rPr>
        <w:t>Maijuna</w:t>
      </w:r>
      <w:proofErr w:type="spellEnd"/>
      <w:r w:rsidR="00EA026D">
        <w:rPr>
          <w:iCs/>
        </w:rPr>
        <w:t xml:space="preserve"> </w:t>
      </w:r>
      <w:r w:rsidRPr="00353308">
        <w:rPr>
          <w:iCs/>
        </w:rPr>
        <w:t xml:space="preserve">communities: Puerto </w:t>
      </w:r>
      <w:proofErr w:type="spellStart"/>
      <w:r w:rsidRPr="00353308">
        <w:rPr>
          <w:iCs/>
        </w:rPr>
        <w:t>Huamán</w:t>
      </w:r>
      <w:proofErr w:type="spellEnd"/>
      <w:r w:rsidRPr="00353308">
        <w:rPr>
          <w:iCs/>
        </w:rPr>
        <w:t xml:space="preserve"> and Nueva Vida along the </w:t>
      </w:r>
      <w:proofErr w:type="spellStart"/>
      <w:r w:rsidRPr="00353308">
        <w:rPr>
          <w:iCs/>
        </w:rPr>
        <w:t>Yanayacu</w:t>
      </w:r>
      <w:proofErr w:type="spellEnd"/>
      <w:r w:rsidRPr="00353308">
        <w:rPr>
          <w:iCs/>
        </w:rPr>
        <w:t xml:space="preserve"> River, </w:t>
      </w:r>
      <w:proofErr w:type="spellStart"/>
      <w:r w:rsidRPr="00353308">
        <w:rPr>
          <w:iCs/>
        </w:rPr>
        <w:t>Sucusari</w:t>
      </w:r>
      <w:proofErr w:type="spellEnd"/>
      <w:r w:rsidRPr="00353308">
        <w:rPr>
          <w:iCs/>
        </w:rPr>
        <w:t xml:space="preserve"> along the </w:t>
      </w:r>
      <w:proofErr w:type="spellStart"/>
      <w:r w:rsidRPr="00353308">
        <w:rPr>
          <w:iCs/>
        </w:rPr>
        <w:t>Sucusari</w:t>
      </w:r>
      <w:proofErr w:type="spellEnd"/>
      <w:r w:rsidRPr="00353308">
        <w:rPr>
          <w:iCs/>
        </w:rPr>
        <w:t xml:space="preserve"> River, and San Pablo de </w:t>
      </w:r>
      <w:proofErr w:type="spellStart"/>
      <w:r w:rsidRPr="00353308">
        <w:rPr>
          <w:iCs/>
        </w:rPr>
        <w:t>Totoya</w:t>
      </w:r>
      <w:proofErr w:type="spellEnd"/>
      <w:r w:rsidRPr="00353308">
        <w:rPr>
          <w:iCs/>
        </w:rPr>
        <w:t xml:space="preserve"> </w:t>
      </w:r>
      <w:r w:rsidR="000B7FCD">
        <w:rPr>
          <w:iCs/>
        </w:rPr>
        <w:t>(</w:t>
      </w:r>
      <w:proofErr w:type="spellStart"/>
      <w:r w:rsidR="000B7FCD">
        <w:rPr>
          <w:iCs/>
        </w:rPr>
        <w:t>Totolla</w:t>
      </w:r>
      <w:proofErr w:type="spellEnd"/>
      <w:r w:rsidR="000B7FCD">
        <w:rPr>
          <w:iCs/>
        </w:rPr>
        <w:t xml:space="preserve">) </w:t>
      </w:r>
      <w:r w:rsidRPr="00353308">
        <w:rPr>
          <w:iCs/>
        </w:rPr>
        <w:t xml:space="preserve">along the </w:t>
      </w:r>
      <w:proofErr w:type="spellStart"/>
      <w:r w:rsidRPr="00353308">
        <w:rPr>
          <w:iCs/>
        </w:rPr>
        <w:t>Algodón</w:t>
      </w:r>
      <w:proofErr w:type="spellEnd"/>
      <w:r w:rsidRPr="00353308">
        <w:rPr>
          <w:iCs/>
        </w:rPr>
        <w:t xml:space="preserve"> River</w:t>
      </w:r>
      <w:r w:rsidR="00E11A3E">
        <w:rPr>
          <w:iCs/>
        </w:rPr>
        <w:t xml:space="preserve"> (Figure 1)</w:t>
      </w:r>
      <w:r w:rsidRPr="00353308">
        <w:rPr>
          <w:iCs/>
        </w:rPr>
        <w:t xml:space="preserve">. </w:t>
      </w:r>
      <w:r w:rsidRPr="00353308">
        <w:rPr>
          <w:iCs/>
        </w:rPr>
        <w:lastRenderedPageBreak/>
        <w:t xml:space="preserve">These three river basins, part of the ancestral territory of the </w:t>
      </w:r>
      <w:proofErr w:type="spellStart"/>
      <w:r w:rsidRPr="00353308">
        <w:rPr>
          <w:iCs/>
        </w:rPr>
        <w:t>Maijuna</w:t>
      </w:r>
      <w:proofErr w:type="spellEnd"/>
      <w:r w:rsidRPr="00353308">
        <w:rPr>
          <w:iCs/>
        </w:rPr>
        <w:t xml:space="preserve">, are now within the MKRCA with the headwaters of the rivers in the core of the reserve. No other communities are located within these river basins, which makes supporting and empowering the </w:t>
      </w:r>
      <w:proofErr w:type="spellStart"/>
      <w:r w:rsidRPr="00353308">
        <w:rPr>
          <w:iCs/>
        </w:rPr>
        <w:t>Maijuna</w:t>
      </w:r>
      <w:proofErr w:type="spellEnd"/>
      <w:r w:rsidRPr="00353308">
        <w:rPr>
          <w:iCs/>
        </w:rPr>
        <w:t xml:space="preserve"> to effectively manage and conserve the MKRCA invaluable to the protection of this immense and extremely biologically and culturally rich area</w:t>
      </w:r>
      <w:r w:rsidR="00BF40A6">
        <w:rPr>
          <w:iCs/>
        </w:rPr>
        <w:t xml:space="preserve"> </w:t>
      </w:r>
      <w:r w:rsidR="00AC5FAA">
        <w:rPr>
          <w:iCs/>
        </w:rPr>
        <w:fldChar w:fldCharType="begin"/>
      </w:r>
      <w:r w:rsidR="00FD52E5">
        <w:rPr>
          <w:iCs/>
        </w:rPr>
        <w:instrText xml:space="preserve"> ADDIN ZOTERO_ITEM CSL_CITATION {"citationID":"9WYebLUT","properties":{"formattedCitation":"[14]","plainCitation":"[14]","noteIndex":0},"citationItems":[{"id":2111,"uris":["http://zotero.org/users/1105362/items/TMJP7NRR"],"uri":["http://zotero.org/users/1105362/items/TMJP7NRR"],"itemData":{"id":2111,"type":"book","title":"Perú: Maijuna","publisher":"Field Museum, Environment, Culture and Conservation","source":"Google Scholar","title-short":"Perú","author":[{"family":"Gilmore","given":"Michael P."},{"family":"Vriesendorp","given":"Corine"},{"family":"Alverson","given":"William Surprison"},{"family":"Von May","given":"Rudolf"},{"family":"Wong","given":"Cristina López"},{"family":"Ochoa","given":"Sebastián Ríos"}],"issued":{"date-parts":[["2010"]]}}}],"schema":"https://github.com/citation-style-language/schema/raw/master/csl-citation.json"} </w:instrText>
      </w:r>
      <w:r w:rsidR="00AC5FAA">
        <w:rPr>
          <w:iCs/>
        </w:rPr>
        <w:fldChar w:fldCharType="separate"/>
      </w:r>
      <w:r w:rsidR="00FD52E5">
        <w:rPr>
          <w:iCs/>
          <w:noProof/>
        </w:rPr>
        <w:t>[14]</w:t>
      </w:r>
      <w:r w:rsidR="00AC5FAA">
        <w:rPr>
          <w:iCs/>
        </w:rPr>
        <w:fldChar w:fldCharType="end"/>
      </w:r>
      <w:r w:rsidRPr="00353308">
        <w:rPr>
          <w:iCs/>
        </w:rPr>
        <w:t>.</w:t>
      </w:r>
      <w:r w:rsidR="00924BD0" w:rsidRPr="00924BD0">
        <w:t xml:space="preserve"> </w:t>
      </w:r>
    </w:p>
    <w:p w14:paraId="345C98A5" w14:textId="15F95676" w:rsidR="00D6507A" w:rsidRDefault="005627E8" w:rsidP="00CE00E0">
      <w:pPr>
        <w:spacing w:line="480" w:lineRule="auto"/>
        <w:ind w:firstLine="720"/>
        <w:rPr>
          <w:iCs/>
        </w:rPr>
      </w:pPr>
      <w:r>
        <w:rPr>
          <w:iCs/>
        </w:rPr>
        <w:t xml:space="preserve">Data for this study was collected from 1999-2019 </w:t>
      </w:r>
      <w:r w:rsidR="00353308" w:rsidRPr="00353308">
        <w:rPr>
          <w:iCs/>
        </w:rPr>
        <w:t xml:space="preserve">in </w:t>
      </w:r>
      <w:r w:rsidR="00463EAF">
        <w:rPr>
          <w:iCs/>
        </w:rPr>
        <w:t xml:space="preserve">the </w:t>
      </w:r>
      <w:proofErr w:type="spellStart"/>
      <w:r>
        <w:rPr>
          <w:iCs/>
        </w:rPr>
        <w:t>Maijuna</w:t>
      </w:r>
      <w:proofErr w:type="spellEnd"/>
      <w:r>
        <w:rPr>
          <w:iCs/>
        </w:rPr>
        <w:t xml:space="preserve"> </w:t>
      </w:r>
      <w:r w:rsidR="00463EAF">
        <w:rPr>
          <w:iCs/>
        </w:rPr>
        <w:t xml:space="preserve">community of </w:t>
      </w:r>
      <w:proofErr w:type="spellStart"/>
      <w:r w:rsidR="00463EAF">
        <w:rPr>
          <w:iCs/>
        </w:rPr>
        <w:t>Sucusari</w:t>
      </w:r>
      <w:proofErr w:type="spellEnd"/>
      <w:r w:rsidR="0010601F">
        <w:rPr>
          <w:iCs/>
        </w:rPr>
        <w:t xml:space="preserve"> (Figure 1)</w:t>
      </w:r>
      <w:r w:rsidR="00353308" w:rsidRPr="00353308">
        <w:rPr>
          <w:iCs/>
        </w:rPr>
        <w:t xml:space="preserve">. This area is approximately 126 </w:t>
      </w:r>
      <w:r w:rsidR="009953F6">
        <w:rPr>
          <w:iCs/>
        </w:rPr>
        <w:t>km</w:t>
      </w:r>
      <w:r w:rsidR="009953F6" w:rsidRPr="00353308">
        <w:rPr>
          <w:iCs/>
        </w:rPr>
        <w:t xml:space="preserve"> </w:t>
      </w:r>
      <w:r w:rsidR="00353308" w:rsidRPr="00353308">
        <w:rPr>
          <w:iCs/>
        </w:rPr>
        <w:t>by river from Iquitos, the capital of the Region of Loreto</w:t>
      </w:r>
      <w:r w:rsidR="007E37AC">
        <w:rPr>
          <w:iCs/>
        </w:rPr>
        <w:t xml:space="preserve">. However, </w:t>
      </w:r>
      <w:r w:rsidR="009953F6">
        <w:rPr>
          <w:iCs/>
        </w:rPr>
        <w:t xml:space="preserve">this trip can be shortened to 70 km by crossing the thin isthmus between the Napo and Amazon Rivers by road at </w:t>
      </w:r>
      <w:proofErr w:type="spellStart"/>
      <w:r w:rsidR="009953F6">
        <w:rPr>
          <w:iCs/>
        </w:rPr>
        <w:t>Mazán</w:t>
      </w:r>
      <w:proofErr w:type="spellEnd"/>
      <w:r w:rsidR="009953F6">
        <w:rPr>
          <w:iCs/>
        </w:rPr>
        <w:t>, a small town</w:t>
      </w:r>
      <w:r w:rsidR="00353308" w:rsidRPr="00353308">
        <w:rPr>
          <w:iCs/>
        </w:rPr>
        <w:t xml:space="preserve">. The </w:t>
      </w:r>
      <w:proofErr w:type="spellStart"/>
      <w:r w:rsidR="00353308" w:rsidRPr="00353308">
        <w:rPr>
          <w:iCs/>
        </w:rPr>
        <w:t>Sucusari</w:t>
      </w:r>
      <w:proofErr w:type="spellEnd"/>
      <w:r w:rsidR="00353308" w:rsidRPr="00353308">
        <w:rPr>
          <w:iCs/>
        </w:rPr>
        <w:t xml:space="preserve"> community has legal title to 4,771 hectares that adjoins the recently established MKRCA </w:t>
      </w:r>
      <w:r w:rsidR="000233DD">
        <w:rPr>
          <w:iCs/>
        </w:rPr>
        <w:fldChar w:fldCharType="begin"/>
      </w:r>
      <w:r w:rsidR="00FD52E5">
        <w:rPr>
          <w:iCs/>
        </w:rPr>
        <w:instrText xml:space="preserve"> ADDIN ZOTERO_ITEM CSL_CITATION {"citationID":"5xeXyAsJ","properties":{"formattedCitation":"[14]","plainCitation":"[14]","noteIndex":0},"citationItems":[{"id":2111,"uris":["http://zotero.org/users/1105362/items/TMJP7NRR"],"uri":["http://zotero.org/users/1105362/items/TMJP7NRR"],"itemData":{"id":2111,"type":"book","title":"Perú: Maijuna","publisher":"Field Museum, Environment, Culture and Conservation","source":"Google Scholar","title-short":"Perú","author":[{"family":"Gilmore","given":"Michael P."},{"family":"Vriesendorp","given":"Corine"},{"family":"Alverson","given":"William Surprison"},{"family":"Von May","given":"Rudolf"},{"family":"Wong","given":"Cristina López"},{"family":"Ochoa","given":"Sebastián Ríos"}],"issued":{"date-parts":[["2010"]]}}}],"schema":"https://github.com/citation-style-language/schema/raw/master/csl-citation.json"} </w:instrText>
      </w:r>
      <w:r w:rsidR="000233DD">
        <w:rPr>
          <w:iCs/>
        </w:rPr>
        <w:fldChar w:fldCharType="separate"/>
      </w:r>
      <w:r w:rsidR="00FD52E5">
        <w:rPr>
          <w:iCs/>
          <w:noProof/>
        </w:rPr>
        <w:t>[14]</w:t>
      </w:r>
      <w:r w:rsidR="000233DD">
        <w:rPr>
          <w:iCs/>
        </w:rPr>
        <w:fldChar w:fldCharType="end"/>
      </w:r>
      <w:r w:rsidR="00353308" w:rsidRPr="00353308">
        <w:rPr>
          <w:iCs/>
        </w:rPr>
        <w:t xml:space="preserve">. The community has 166 residents </w:t>
      </w:r>
      <w:r w:rsidR="00924BD0">
        <w:rPr>
          <w:iCs/>
        </w:rPr>
        <w:t>living in</w:t>
      </w:r>
      <w:r w:rsidR="00353308" w:rsidRPr="00353308">
        <w:rPr>
          <w:iCs/>
        </w:rPr>
        <w:t xml:space="preserve"> 32 </w:t>
      </w:r>
      <w:proofErr w:type="spellStart"/>
      <w:r w:rsidR="00353308" w:rsidRPr="00353308">
        <w:rPr>
          <w:iCs/>
        </w:rPr>
        <w:t>monofamilial</w:t>
      </w:r>
      <w:proofErr w:type="spellEnd"/>
      <w:r w:rsidR="00353308" w:rsidRPr="00353308">
        <w:rPr>
          <w:iCs/>
        </w:rPr>
        <w:t xml:space="preserve"> or </w:t>
      </w:r>
      <w:proofErr w:type="spellStart"/>
      <w:r w:rsidR="00353308" w:rsidRPr="00353308">
        <w:rPr>
          <w:iCs/>
        </w:rPr>
        <w:t>plurifamilial</w:t>
      </w:r>
      <w:proofErr w:type="spellEnd"/>
      <w:r w:rsidR="00353308" w:rsidRPr="00353308">
        <w:rPr>
          <w:iCs/>
        </w:rPr>
        <w:t xml:space="preserve"> </w:t>
      </w:r>
      <w:r w:rsidR="00924BD0">
        <w:rPr>
          <w:iCs/>
        </w:rPr>
        <w:t>households</w:t>
      </w:r>
      <w:r w:rsidR="00353308" w:rsidRPr="00353308">
        <w:rPr>
          <w:iCs/>
        </w:rPr>
        <w:t xml:space="preserve"> </w:t>
      </w:r>
      <w:r w:rsidR="000233DD">
        <w:rPr>
          <w:iCs/>
        </w:rPr>
        <w:fldChar w:fldCharType="begin"/>
      </w:r>
      <w:r w:rsidR="00FD52E5">
        <w:rPr>
          <w:iCs/>
        </w:rPr>
        <w:instrText xml:space="preserve"> ADDIN ZOTERO_ITEM CSL_CITATION {"citationID":"G8og4yoJ","properties":{"formattedCitation":"[15]","plainCitation":"[15]","noteIndex":0},"citationItems":[{"id":2113,"uris":["http://zotero.org/users/1105362/items/X7F664V5"],"uri":["http://zotero.org/users/1105362/items/X7F664V5"],"itemData":{"id":2113,"type":"article-journal","title":"The ethnoprimatology of the Maijuna of the Peruvian Amazon and implications for primate conservation","container-title":"Journal of ethnobiology and ethnomedicine","page":"19","volume":"14","issue":"1","source":"Google Scholar","author":[{"family":"Roncal","given":"Carla Mere"},{"family":"Bowler","given":"Mark"},{"family":"Gilmore","given":"Michael P."}],"issued":{"date-parts":[["2018"]]}}}],"schema":"https://github.com/citation-style-language/schema/raw/master/csl-citation.json"} </w:instrText>
      </w:r>
      <w:r w:rsidR="000233DD">
        <w:rPr>
          <w:iCs/>
        </w:rPr>
        <w:fldChar w:fldCharType="separate"/>
      </w:r>
      <w:r w:rsidR="00FD52E5">
        <w:rPr>
          <w:iCs/>
          <w:noProof/>
        </w:rPr>
        <w:t>[15]</w:t>
      </w:r>
      <w:r w:rsidR="000233DD">
        <w:rPr>
          <w:iCs/>
        </w:rPr>
        <w:fldChar w:fldCharType="end"/>
      </w:r>
      <w:r w:rsidR="00353308" w:rsidRPr="00353308">
        <w:rPr>
          <w:iCs/>
        </w:rPr>
        <w:t xml:space="preserve">. </w:t>
      </w:r>
      <w:r w:rsidR="00F600E5" w:rsidRPr="00F600E5">
        <w:rPr>
          <w:iCs/>
        </w:rPr>
        <w:t xml:space="preserve">Within the </w:t>
      </w:r>
      <w:r w:rsidR="00924BD0">
        <w:rPr>
          <w:iCs/>
        </w:rPr>
        <w:t>residents of</w:t>
      </w:r>
      <w:r w:rsidR="00F600E5" w:rsidRPr="00F600E5">
        <w:rPr>
          <w:iCs/>
        </w:rPr>
        <w:t xml:space="preserve"> </w:t>
      </w:r>
      <w:proofErr w:type="spellStart"/>
      <w:r w:rsidR="00F600E5" w:rsidRPr="00F600E5">
        <w:rPr>
          <w:iCs/>
        </w:rPr>
        <w:t>Sucusari</w:t>
      </w:r>
      <w:proofErr w:type="spellEnd"/>
      <w:r w:rsidR="00F600E5" w:rsidRPr="00F600E5">
        <w:rPr>
          <w:iCs/>
        </w:rPr>
        <w:t>, 59%</w:t>
      </w:r>
      <w:r w:rsidR="00F600E5">
        <w:rPr>
          <w:iCs/>
        </w:rPr>
        <w:t xml:space="preserve"> </w:t>
      </w:r>
      <w:r w:rsidR="00F600E5" w:rsidRPr="00F600E5">
        <w:rPr>
          <w:iCs/>
        </w:rPr>
        <w:t xml:space="preserve">are </w:t>
      </w:r>
      <w:proofErr w:type="spellStart"/>
      <w:r w:rsidR="00F600E5" w:rsidRPr="00F600E5">
        <w:rPr>
          <w:iCs/>
        </w:rPr>
        <w:t>Maijuna</w:t>
      </w:r>
      <w:proofErr w:type="spellEnd"/>
      <w:r w:rsidR="00F600E5" w:rsidRPr="00F600E5">
        <w:rPr>
          <w:iCs/>
        </w:rPr>
        <w:t xml:space="preserve">, 35% are </w:t>
      </w:r>
      <w:proofErr w:type="spellStart"/>
      <w:r w:rsidR="00F600E5" w:rsidRPr="00F600E5">
        <w:rPr>
          <w:iCs/>
        </w:rPr>
        <w:t>mestizos</w:t>
      </w:r>
      <w:r w:rsidR="004F16E3">
        <w:rPr>
          <w:iCs/>
          <w:vertAlign w:val="superscript"/>
        </w:rPr>
        <w:t>a</w:t>
      </w:r>
      <w:proofErr w:type="spellEnd"/>
      <w:r w:rsidR="00F600E5" w:rsidRPr="00F600E5">
        <w:rPr>
          <w:iCs/>
        </w:rPr>
        <w:t>, and the remaining 6%</w:t>
      </w:r>
      <w:r w:rsidR="00F600E5">
        <w:rPr>
          <w:iCs/>
        </w:rPr>
        <w:t xml:space="preserve"> </w:t>
      </w:r>
      <w:r w:rsidR="00F600E5" w:rsidRPr="00F600E5">
        <w:rPr>
          <w:iCs/>
        </w:rPr>
        <w:t xml:space="preserve">are </w:t>
      </w:r>
      <w:proofErr w:type="spellStart"/>
      <w:r w:rsidR="00F600E5" w:rsidRPr="00F600E5">
        <w:rPr>
          <w:iCs/>
        </w:rPr>
        <w:t>Kichwa</w:t>
      </w:r>
      <w:proofErr w:type="spellEnd"/>
      <w:r w:rsidR="00F600E5" w:rsidRPr="00F600E5">
        <w:rPr>
          <w:iCs/>
        </w:rPr>
        <w:t>.</w:t>
      </w:r>
      <w:r w:rsidR="00F600E5">
        <w:rPr>
          <w:iCs/>
        </w:rPr>
        <w:t xml:space="preserve"> </w:t>
      </w:r>
      <w:r w:rsidR="00353308" w:rsidRPr="00353308">
        <w:rPr>
          <w:iCs/>
        </w:rPr>
        <w:t xml:space="preserve">The main subsistence activities of community members include hunting, fishing, </w:t>
      </w:r>
      <w:proofErr w:type="spellStart"/>
      <w:r w:rsidR="00353308" w:rsidRPr="00353308">
        <w:rPr>
          <w:iCs/>
        </w:rPr>
        <w:t>swidden</w:t>
      </w:r>
      <w:proofErr w:type="spellEnd"/>
      <w:r w:rsidR="00353308" w:rsidRPr="00353308">
        <w:rPr>
          <w:iCs/>
        </w:rPr>
        <w:t xml:space="preserve">-fallow agriculture, and the gathering of various forest products. To </w:t>
      </w:r>
      <w:r w:rsidR="00407446">
        <w:rPr>
          <w:iCs/>
        </w:rPr>
        <w:t>support basic household needs</w:t>
      </w:r>
      <w:r w:rsidR="00353308" w:rsidRPr="00353308">
        <w:rPr>
          <w:iCs/>
        </w:rPr>
        <w:t xml:space="preserve">, residents sell game meat, domesticated animals, agricultural products, and a variety of non-timber forest products </w:t>
      </w:r>
      <w:r w:rsidR="000233DD">
        <w:rPr>
          <w:iCs/>
        </w:rPr>
        <w:fldChar w:fldCharType="begin"/>
      </w:r>
      <w:r w:rsidR="00FD52E5">
        <w:rPr>
          <w:iCs/>
        </w:rPr>
        <w:instrText xml:space="preserve"> ADDIN ZOTERO_ITEM CSL_CITATION {"citationID":"T1DYsvvJ","properties":{"formattedCitation":"[14]","plainCitation":"[14]","noteIndex":0},"citationItems":[{"id":2111,"uris":["http://zotero.org/users/1105362/items/TMJP7NRR"],"uri":["http://zotero.org/users/1105362/items/TMJP7NRR"],"itemData":{"id":2111,"type":"book","title":"Perú: Maijuna","publisher":"Field Museum, Environment, Culture and Conservation","source":"Google Scholar","title-short":"Perú","author":[{"family":"Gilmore","given":"Michael P."},{"family":"Vriesendorp","given":"Corine"},{"family":"Alverson","given":"William Surprison"},{"family":"Von May","given":"Rudolf"},{"family":"Wong","given":"Cristina López"},{"family":"Ochoa","given":"Sebastián Ríos"}],"issued":{"date-parts":[["2010"]]}}}],"schema":"https://github.com/citation-style-language/schema/raw/master/csl-citation.json"} </w:instrText>
      </w:r>
      <w:r w:rsidR="000233DD">
        <w:rPr>
          <w:iCs/>
        </w:rPr>
        <w:fldChar w:fldCharType="separate"/>
      </w:r>
      <w:r w:rsidR="00FD52E5">
        <w:rPr>
          <w:iCs/>
          <w:noProof/>
        </w:rPr>
        <w:t>[14]</w:t>
      </w:r>
      <w:r w:rsidR="000233DD">
        <w:rPr>
          <w:iCs/>
        </w:rPr>
        <w:fldChar w:fldCharType="end"/>
      </w:r>
      <w:r w:rsidR="00353308" w:rsidRPr="00353308">
        <w:rPr>
          <w:iCs/>
        </w:rPr>
        <w:t>.</w:t>
      </w:r>
      <w:r>
        <w:rPr>
          <w:iCs/>
        </w:rPr>
        <w:t xml:space="preserve"> </w:t>
      </w:r>
      <w:r w:rsidR="00407446">
        <w:rPr>
          <w:iCs/>
        </w:rPr>
        <w:t>Game meat</w:t>
      </w:r>
      <w:r w:rsidR="00A001C0">
        <w:rPr>
          <w:iCs/>
        </w:rPr>
        <w:t xml:space="preserve"> and other products are</w:t>
      </w:r>
      <w:r w:rsidR="00407446">
        <w:rPr>
          <w:iCs/>
        </w:rPr>
        <w:t xml:space="preserve"> sold within </w:t>
      </w:r>
      <w:proofErr w:type="spellStart"/>
      <w:r w:rsidR="00121773">
        <w:rPr>
          <w:iCs/>
        </w:rPr>
        <w:t>Sucusari</w:t>
      </w:r>
      <w:proofErr w:type="spellEnd"/>
      <w:r w:rsidR="00207123">
        <w:rPr>
          <w:iCs/>
        </w:rPr>
        <w:t xml:space="preserve"> and</w:t>
      </w:r>
      <w:r w:rsidR="00407446">
        <w:rPr>
          <w:iCs/>
        </w:rPr>
        <w:t xml:space="preserve"> </w:t>
      </w:r>
      <w:r w:rsidR="00E11A3E">
        <w:rPr>
          <w:iCs/>
        </w:rPr>
        <w:t xml:space="preserve">in communities nearby </w:t>
      </w:r>
      <w:r w:rsidR="006A05E2">
        <w:rPr>
          <w:iCs/>
        </w:rPr>
        <w:t>along</w:t>
      </w:r>
      <w:r w:rsidR="00E11A3E">
        <w:rPr>
          <w:iCs/>
        </w:rPr>
        <w:t xml:space="preserve"> the Napo River</w:t>
      </w:r>
      <w:r w:rsidR="00236789">
        <w:rPr>
          <w:iCs/>
        </w:rPr>
        <w:t xml:space="preserve"> as well as</w:t>
      </w:r>
      <w:r w:rsidR="00E11A3E">
        <w:rPr>
          <w:iCs/>
        </w:rPr>
        <w:t xml:space="preserve"> in </w:t>
      </w:r>
      <w:proofErr w:type="spellStart"/>
      <w:r w:rsidR="00E11A3E">
        <w:rPr>
          <w:iCs/>
        </w:rPr>
        <w:t>Mazán</w:t>
      </w:r>
      <w:proofErr w:type="spellEnd"/>
      <w:r w:rsidR="00BD3C12">
        <w:rPr>
          <w:iCs/>
        </w:rPr>
        <w:t xml:space="preserve"> and </w:t>
      </w:r>
      <w:r w:rsidR="00E11A3E">
        <w:rPr>
          <w:iCs/>
        </w:rPr>
        <w:t xml:space="preserve">the city of Iquitos. </w:t>
      </w:r>
    </w:p>
    <w:p w14:paraId="3B616C04" w14:textId="0425ACA3" w:rsidR="005627E8" w:rsidRPr="00D6507A" w:rsidRDefault="005627E8" w:rsidP="00CE00E0">
      <w:pPr>
        <w:spacing w:line="480" w:lineRule="auto"/>
        <w:ind w:firstLine="720"/>
        <w:rPr>
          <w:iCs/>
        </w:rPr>
      </w:pPr>
      <w:proofErr w:type="spellStart"/>
      <w:r>
        <w:t>Sucusari</w:t>
      </w:r>
      <w:proofErr w:type="spellEnd"/>
      <w:r>
        <w:t xml:space="preserve"> is located in an area dominated by upland tropical rainforest</w:t>
      </w:r>
      <w:r w:rsidR="00B66EA3">
        <w:t>, permeated by rivers that are largely bordered by</w:t>
      </w:r>
      <w:r w:rsidR="00F06376">
        <w:t xml:space="preserve"> </w:t>
      </w:r>
      <w:r>
        <w:t xml:space="preserve">seasonally inundated floodplain forest </w:t>
      </w:r>
      <w:r w:rsidR="002E385F">
        <w:fldChar w:fldCharType="begin"/>
      </w:r>
      <w:r w:rsidR="00FD52E5">
        <w:instrText xml:space="preserve"> ADDIN ZOTERO_ITEM CSL_CITATION {"citationID":"4bp8oaaW","properties":{"formattedCitation":"[16]","plainCitation":"[16]","noteIndex":0},"citationItems":[{"id":2115,"uris":["http://zotero.org/users/1105362/items/JVU47FAQ"],"uri":["http://zotero.org/users/1105362/items/JVU47FAQ"],"itemData":{"id":2115,"type":"thesis","title":"An ethnoecological and ethnobotanical study of the Maijuna Indians of the Peruvian Amazon","publisher":"Miami University","genre":"PhD Thesis","source":"Google Scholar","author":[{"family":"Gilmore","given":"Michael Patrick"}],"issued":{"date-parts":[["2005"]]}}}],"schema":"https://github.com/citation-style-language/schema/raw/master/csl-citation.json"} </w:instrText>
      </w:r>
      <w:r w:rsidR="002E385F">
        <w:fldChar w:fldCharType="separate"/>
      </w:r>
      <w:r w:rsidR="00FD52E5">
        <w:rPr>
          <w:noProof/>
        </w:rPr>
        <w:t>[16]</w:t>
      </w:r>
      <w:r w:rsidR="002E385F">
        <w:fldChar w:fldCharType="end"/>
      </w:r>
      <w:r>
        <w:t xml:space="preserve">. </w:t>
      </w:r>
      <w:r w:rsidR="00B66EA3">
        <w:t xml:space="preserve">Like much of the central Amazon basin, the </w:t>
      </w:r>
      <w:r w:rsidR="00216BB3">
        <w:t xml:space="preserve">terrain </w:t>
      </w:r>
      <w:r w:rsidR="00216BB3" w:rsidRPr="005627E8">
        <w:t>is relatively flat, with an elevation</w:t>
      </w:r>
      <w:r w:rsidR="00216BB3">
        <w:t xml:space="preserve"> </w:t>
      </w:r>
      <w:r w:rsidR="00216BB3" w:rsidRPr="005627E8">
        <w:t xml:space="preserve">varying from 80-200 m above sea level </w:t>
      </w:r>
      <w:r w:rsidR="002E385F">
        <w:fldChar w:fldCharType="begin"/>
      </w:r>
      <w:r w:rsidR="00FD52E5">
        <w:instrText xml:space="preserve"> ADDIN ZOTERO_ITEM CSL_CITATION {"citationID":"3wB0YET1","properties":{"formattedCitation":"[17]","plainCitation":"[17]","noteIndex":0},"citationItems":[{"id":2118,"uris":["http://zotero.org/users/1105362/items/TJE8R3VM"],"uri":["http://zotero.org/users/1105362/items/TJE8R3VM"],"itemData":{"id":2118,"type":"article-journal","title":"Regional overview, overflight, inventory sites, and human communities visited","container-title":"Perú: Maijuna, Rapid Biological and Social Inventories Report","page":"171–75","volume":"22","source":"Google Scholar","author":[{"family":"Vriesendorp","given":"C."},{"family":"Foster","given":"R."}],"issued":{"date-parts":[["2010"]]}}}],"schema":"https://github.com/citation-style-language/schema/raw/master/csl-citation.json"} </w:instrText>
      </w:r>
      <w:r w:rsidR="002E385F">
        <w:fldChar w:fldCharType="separate"/>
      </w:r>
      <w:r w:rsidR="00FD52E5">
        <w:rPr>
          <w:noProof/>
        </w:rPr>
        <w:t>[17]</w:t>
      </w:r>
      <w:r w:rsidR="002E385F">
        <w:fldChar w:fldCharType="end"/>
      </w:r>
      <w:r w:rsidR="00216BB3" w:rsidRPr="005627E8">
        <w:t>.</w:t>
      </w:r>
      <w:r w:rsidR="00216BB3">
        <w:t xml:space="preserve"> </w:t>
      </w:r>
      <w:r w:rsidR="00B4158D">
        <w:t>This</w:t>
      </w:r>
      <w:r w:rsidR="00B4158D" w:rsidRPr="005627E8">
        <w:t xml:space="preserve"> region of the Peruvian Amazon</w:t>
      </w:r>
      <w:r w:rsidR="00B4158D">
        <w:t xml:space="preserve"> </w:t>
      </w:r>
      <w:r w:rsidR="00B4158D" w:rsidRPr="005627E8">
        <w:t>is tropical, humid and warm</w:t>
      </w:r>
      <w:r w:rsidR="00B4158D" w:rsidDel="00B66EA3">
        <w:t xml:space="preserve"> </w:t>
      </w:r>
      <w:r w:rsidR="00B4158D">
        <w:t>with a m</w:t>
      </w:r>
      <w:r w:rsidRPr="005627E8">
        <w:t>ean annual precipitation</w:t>
      </w:r>
      <w:r w:rsidR="00216BB3">
        <w:t xml:space="preserve"> </w:t>
      </w:r>
      <w:r w:rsidR="00B4158D">
        <w:t>of</w:t>
      </w:r>
      <w:r w:rsidR="00B66EA3" w:rsidRPr="005627E8">
        <w:t xml:space="preserve"> </w:t>
      </w:r>
      <w:r w:rsidRPr="005627E8">
        <w:t>approximately 3100 mm per year and mean</w:t>
      </w:r>
      <w:r>
        <w:t xml:space="preserve"> </w:t>
      </w:r>
      <w:r w:rsidRPr="005627E8">
        <w:t xml:space="preserve">annual temperature </w:t>
      </w:r>
      <w:r w:rsidR="00B4158D">
        <w:t xml:space="preserve">of </w:t>
      </w:r>
      <w:r w:rsidRPr="005627E8">
        <w:t>26°C</w:t>
      </w:r>
      <w:r w:rsidR="00216BB3" w:rsidRPr="005627E8">
        <w:t xml:space="preserve"> </w:t>
      </w:r>
      <w:r w:rsidR="002E385F">
        <w:fldChar w:fldCharType="begin"/>
      </w:r>
      <w:r w:rsidR="00FD52E5">
        <w:instrText xml:space="preserve"> ADDIN ZOTERO_ITEM CSL_CITATION {"citationID":"XaSfo2hW","properties":{"formattedCitation":"[18]","plainCitation":"[18]","noteIndex":0},"citationItems":[{"id":2119,"uris":["http://zotero.org/users/1105362/items/8RTEZUTH"],"uri":["http://zotero.org/users/1105362/items/8RTEZUTH"],"itemData":{"id":2119,"type":"article-journal","title":"Climatología de la zona de Iquitos, Perú","container-title":"Geoecologia y desarrollo Amazonico: estudio integrado en la zona de Iquitos, Peru. University of Turku Press, Turku, Finland","page":"35–57","source":"Google Scholar","author":[{"family":"Marengo","given":"J."}],"issued":{"date-parts":[["1998"]]}}}],"schema":"https://github.com/citation-style-language/schema/raw/master/csl-citation.json"} </w:instrText>
      </w:r>
      <w:r w:rsidR="002E385F">
        <w:fldChar w:fldCharType="separate"/>
      </w:r>
      <w:r w:rsidR="00FD52E5">
        <w:rPr>
          <w:noProof/>
        </w:rPr>
        <w:t>[18]</w:t>
      </w:r>
      <w:r w:rsidR="002E385F">
        <w:fldChar w:fldCharType="end"/>
      </w:r>
      <w:r w:rsidRPr="005627E8">
        <w:t>.</w:t>
      </w:r>
      <w:r w:rsidR="00924BD0">
        <w:t xml:space="preserve"> </w:t>
      </w:r>
    </w:p>
    <w:p w14:paraId="100CCD7D" w14:textId="77777777" w:rsidR="005627E8" w:rsidRDefault="005627E8" w:rsidP="00CE00E0">
      <w:pPr>
        <w:tabs>
          <w:tab w:val="left" w:pos="7964"/>
        </w:tabs>
        <w:spacing w:line="480" w:lineRule="auto"/>
      </w:pPr>
    </w:p>
    <w:p w14:paraId="36806B88" w14:textId="46911920" w:rsidR="00F93ECD" w:rsidRPr="00F93ECD" w:rsidRDefault="00F93ECD" w:rsidP="00CE00E0">
      <w:pPr>
        <w:spacing w:line="480" w:lineRule="auto"/>
        <w:rPr>
          <w:u w:val="single"/>
        </w:rPr>
      </w:pPr>
      <w:r w:rsidRPr="00F93ECD">
        <w:rPr>
          <w:u w:val="single"/>
        </w:rPr>
        <w:t>Data collection and analysis</w:t>
      </w:r>
    </w:p>
    <w:p w14:paraId="477DADA7" w14:textId="3B7BAF05" w:rsidR="00F93ECD" w:rsidRDefault="00F93ECD" w:rsidP="00CE00E0">
      <w:pPr>
        <w:spacing w:line="480" w:lineRule="auto"/>
      </w:pPr>
    </w:p>
    <w:p w14:paraId="40682B34" w14:textId="64F5089C" w:rsidR="006412A6" w:rsidRDefault="00E77F04" w:rsidP="00CE00E0">
      <w:pPr>
        <w:spacing w:line="480" w:lineRule="auto"/>
        <w:ind w:firstLine="720"/>
      </w:pPr>
      <w:r>
        <w:t xml:space="preserve">Prior informed consent (PIC) was obtained from the </w:t>
      </w:r>
      <w:proofErr w:type="spellStart"/>
      <w:r>
        <w:t>Sucusari</w:t>
      </w:r>
      <w:proofErr w:type="spellEnd"/>
      <w:r>
        <w:t xml:space="preserve"> community as well as from individual research participants before beginning th</w:t>
      </w:r>
      <w:r w:rsidR="00361C8A">
        <w:t xml:space="preserve">e interviews for this study. </w:t>
      </w:r>
      <w:r w:rsidR="003A3D88">
        <w:t>From 1999-2019, semi</w:t>
      </w:r>
      <w:r w:rsidR="005C7E85">
        <w:t xml:space="preserve">-structured interviews </w:t>
      </w:r>
      <w:r w:rsidR="0013552D">
        <w:fldChar w:fldCharType="begin"/>
      </w:r>
      <w:r w:rsidR="00FD52E5">
        <w:instrText xml:space="preserve"> ADDIN ZOTERO_ITEM CSL_CITATION {"citationID":"6QnjbxMW","properties":{"formattedCitation":"[19]","plainCitation":"[19]","noteIndex":0},"citationItems":[{"id":2120,"uris":["http://zotero.org/users/1105362/items/2ZSB8S7D"],"uri":["http://zotero.org/users/1105362/items/2ZSB8S7D"],"itemData":{"id":2120,"type":"book","title":"Research methods in anthropology: Qualitative and quantitative approaches","publisher":"Rowman &amp; Littlefield","source":"Google Scholar","title-short":"Research methods in anthropology","author":[{"family":"Bernard","given":"H. Russell"}],"issued":{"date-parts":[["2017"]]}}}],"schema":"https://github.com/citation-style-language/schema/raw/master/csl-citation.json"} </w:instrText>
      </w:r>
      <w:r w:rsidR="0013552D">
        <w:fldChar w:fldCharType="separate"/>
      </w:r>
      <w:r w:rsidR="00FD52E5">
        <w:rPr>
          <w:noProof/>
        </w:rPr>
        <w:t>[19]</w:t>
      </w:r>
      <w:r w:rsidR="0013552D">
        <w:fldChar w:fldCharType="end"/>
      </w:r>
      <w:r w:rsidR="005C7E85">
        <w:t xml:space="preserve"> were conducted with </w:t>
      </w:r>
      <w:r w:rsidR="000A6AFE">
        <w:t>24</w:t>
      </w:r>
      <w:r w:rsidR="00FD242A">
        <w:t xml:space="preserve"> hunters</w:t>
      </w:r>
      <w:r w:rsidR="008C1CFD">
        <w:t xml:space="preserve"> (mean age </w:t>
      </w:r>
      <w:r w:rsidR="004B5427">
        <w:t>=</w:t>
      </w:r>
      <w:r w:rsidR="008C1CFD">
        <w:t xml:space="preserve"> </w:t>
      </w:r>
      <w:r w:rsidR="00B30023">
        <w:t>45</w:t>
      </w:r>
      <w:r w:rsidR="006620A9">
        <w:t>.</w:t>
      </w:r>
      <w:r w:rsidR="00EF031C">
        <w:t>04</w:t>
      </w:r>
      <w:r w:rsidR="008C1CFD">
        <w:t xml:space="preserve">; range </w:t>
      </w:r>
      <w:r w:rsidR="004B5427">
        <w:t>=</w:t>
      </w:r>
      <w:r w:rsidR="008C1CFD">
        <w:t xml:space="preserve"> 22-</w:t>
      </w:r>
      <w:r w:rsidR="00EF031C">
        <w:t>70</w:t>
      </w:r>
      <w:r w:rsidR="008C1CFD">
        <w:t>)</w:t>
      </w:r>
      <w:r w:rsidR="00F666C5">
        <w:t xml:space="preserve"> to gather information on the </w:t>
      </w:r>
      <w:r w:rsidR="00F666C5" w:rsidRPr="00FA7F88">
        <w:t xml:space="preserve">significance of </w:t>
      </w:r>
      <w:r w:rsidR="00F666C5">
        <w:t>mineral licks</w:t>
      </w:r>
      <w:r w:rsidR="00F666C5" w:rsidRPr="00FA7F88">
        <w:t xml:space="preserve"> and their associated</w:t>
      </w:r>
      <w:r w:rsidR="00F666C5">
        <w:t xml:space="preserve"> </w:t>
      </w:r>
      <w:r w:rsidR="00F666C5" w:rsidRPr="00FA7F88">
        <w:t xml:space="preserve">animal resources </w:t>
      </w:r>
      <w:r w:rsidR="00F666C5">
        <w:t>as well as to</w:t>
      </w:r>
      <w:r w:rsidR="00F666C5" w:rsidRPr="00FA7F88">
        <w:t xml:space="preserve"> document changing relationships between</w:t>
      </w:r>
      <w:r w:rsidR="00F666C5">
        <w:t xml:space="preserve"> hunters</w:t>
      </w:r>
      <w:r w:rsidR="00F666C5" w:rsidRPr="00FA7F88">
        <w:t xml:space="preserve"> and </w:t>
      </w:r>
      <w:r w:rsidR="00F666C5">
        <w:t>mineral licks</w:t>
      </w:r>
      <w:r w:rsidR="00F666C5" w:rsidRPr="00FA7F88">
        <w:t xml:space="preserve"> over </w:t>
      </w:r>
      <w:r w:rsidR="00F666C5">
        <w:t>time</w:t>
      </w:r>
      <w:r w:rsidR="00F666C5" w:rsidRPr="00FA7F88">
        <w:t>.</w:t>
      </w:r>
      <w:r w:rsidR="00613B6E">
        <w:t xml:space="preserve"> </w:t>
      </w:r>
      <w:r w:rsidR="008239BF">
        <w:t xml:space="preserve">The 24 hunters interviewed represent </w:t>
      </w:r>
      <w:r w:rsidR="00031FD0">
        <w:t>4</w:t>
      </w:r>
      <w:r w:rsidR="00193021">
        <w:t>5.28</w:t>
      </w:r>
      <w:r w:rsidR="008239BF">
        <w:t xml:space="preserve">% of all hunters in the </w:t>
      </w:r>
      <w:proofErr w:type="spellStart"/>
      <w:r w:rsidR="008239BF">
        <w:t>Sucusari</w:t>
      </w:r>
      <w:proofErr w:type="spellEnd"/>
      <w:r w:rsidR="008239BF">
        <w:t xml:space="preserve"> community </w:t>
      </w:r>
      <w:r w:rsidR="0028654B">
        <w:t>during this</w:t>
      </w:r>
      <w:r w:rsidR="008239BF">
        <w:t xml:space="preserve"> </w:t>
      </w:r>
      <w:r w:rsidR="003049B7">
        <w:t>20-year</w:t>
      </w:r>
      <w:r w:rsidR="00412585">
        <w:t xml:space="preserve"> </w:t>
      </w:r>
      <w:r w:rsidR="008239BF">
        <w:t>time</w:t>
      </w:r>
      <w:r w:rsidR="0028654B">
        <w:t xml:space="preserve"> </w:t>
      </w:r>
      <w:r w:rsidR="00D40511">
        <w:t>span</w:t>
      </w:r>
      <w:r w:rsidR="0028654B">
        <w:t>.</w:t>
      </w:r>
      <w:r w:rsidR="008239BF">
        <w:t xml:space="preserve"> </w:t>
      </w:r>
      <w:r w:rsidR="00666A09">
        <w:t xml:space="preserve">Only men hunt in the </w:t>
      </w:r>
      <w:proofErr w:type="spellStart"/>
      <w:r w:rsidR="00666A09">
        <w:t>Maijuna</w:t>
      </w:r>
      <w:proofErr w:type="spellEnd"/>
      <w:r w:rsidR="00666A09">
        <w:t xml:space="preserve"> communities and a</w:t>
      </w:r>
      <w:r w:rsidR="00FD242A">
        <w:t xml:space="preserve"> hunter was defined</w:t>
      </w:r>
      <w:r w:rsidR="00555121">
        <w:t xml:space="preserve"> as</w:t>
      </w:r>
      <w:r w:rsidR="00FD242A">
        <w:t xml:space="preserve"> </w:t>
      </w:r>
      <w:r w:rsidR="00B66EA3">
        <w:t>someone</w:t>
      </w:r>
      <w:r w:rsidR="00666A09">
        <w:t xml:space="preserve"> who</w:t>
      </w:r>
      <w:r w:rsidR="00FD242A">
        <w:t xml:space="preserve"> has hunted </w:t>
      </w:r>
      <w:r w:rsidR="00387C34">
        <w:t xml:space="preserve">at least </w:t>
      </w:r>
      <w:r w:rsidR="00FD242A">
        <w:t xml:space="preserve">once </w:t>
      </w:r>
      <w:r w:rsidR="000D2F34">
        <w:t xml:space="preserve">in </w:t>
      </w:r>
      <w:r w:rsidR="00555121">
        <w:t>their</w:t>
      </w:r>
      <w:r w:rsidR="00B66EA3">
        <w:t xml:space="preserve"> </w:t>
      </w:r>
      <w:r w:rsidR="00FD242A">
        <w:t>lifetime</w:t>
      </w:r>
      <w:r w:rsidR="006412A6">
        <w:t xml:space="preserve">; however, all hunters interviewed for this study have hunted extensively </w:t>
      </w:r>
      <w:r w:rsidR="00B66898">
        <w:t>throughout</w:t>
      </w:r>
      <w:r w:rsidR="006412A6">
        <w:t xml:space="preserve"> their </w:t>
      </w:r>
      <w:r w:rsidR="00B66898">
        <w:t>lives</w:t>
      </w:r>
      <w:r w:rsidR="00FD242A">
        <w:t xml:space="preserve">. </w:t>
      </w:r>
      <w:r w:rsidR="00666A09">
        <w:t xml:space="preserve">Individual interviews were conducted in Spanish or </w:t>
      </w:r>
      <w:r w:rsidR="009F2835">
        <w:t xml:space="preserve">the </w:t>
      </w:r>
      <w:proofErr w:type="spellStart"/>
      <w:r w:rsidR="00666A09">
        <w:t>Maijuna</w:t>
      </w:r>
      <w:proofErr w:type="spellEnd"/>
      <w:r w:rsidR="009F2835">
        <w:t xml:space="preserve"> language</w:t>
      </w:r>
      <w:r w:rsidR="00666A09">
        <w:t>, the latter with the help of a community leader that is fluent in both.</w:t>
      </w:r>
      <w:r w:rsidR="007C68B4">
        <w:t xml:space="preserve"> </w:t>
      </w:r>
    </w:p>
    <w:p w14:paraId="19FFFB66" w14:textId="7344FBA8" w:rsidR="00FD242A" w:rsidRDefault="00C619D6" w:rsidP="00CE00E0">
      <w:pPr>
        <w:spacing w:line="480" w:lineRule="auto"/>
        <w:ind w:firstLine="720"/>
      </w:pPr>
      <w:r>
        <w:t xml:space="preserve">Additionally, </w:t>
      </w:r>
      <w:r w:rsidR="006D7A95">
        <w:t xml:space="preserve">in July 2017, </w:t>
      </w:r>
      <w:r w:rsidR="00EE5134">
        <w:t xml:space="preserve">a </w:t>
      </w:r>
      <w:r w:rsidR="003D455C">
        <w:t>focus group</w:t>
      </w:r>
      <w:r w:rsidR="00EE5134">
        <w:t xml:space="preserve"> </w:t>
      </w:r>
      <w:r w:rsidR="006D7A95">
        <w:t xml:space="preserve">was conducted </w:t>
      </w:r>
      <w:r w:rsidR="00EE5134">
        <w:t xml:space="preserve">with </w:t>
      </w:r>
      <w:r w:rsidR="00314F3F">
        <w:t>16</w:t>
      </w:r>
      <w:r w:rsidR="00EE5134">
        <w:t xml:space="preserve"> hunters</w:t>
      </w:r>
      <w:r w:rsidR="00954C7C">
        <w:t xml:space="preserve"> </w:t>
      </w:r>
      <w:r w:rsidR="006D7A95">
        <w:t>(</w:t>
      </w:r>
      <w:r w:rsidR="00314F3F">
        <w:t>55.17</w:t>
      </w:r>
      <w:r w:rsidR="006D7A95">
        <w:t xml:space="preserve">% of hunters in the </w:t>
      </w:r>
      <w:proofErr w:type="spellStart"/>
      <w:r w:rsidR="006D7A95">
        <w:t>Sucusari</w:t>
      </w:r>
      <w:proofErr w:type="spellEnd"/>
      <w:r w:rsidR="006D7A95">
        <w:t xml:space="preserve"> community during this time period; mean age = </w:t>
      </w:r>
      <w:r w:rsidR="00314F3F">
        <w:t>42</w:t>
      </w:r>
      <w:r w:rsidR="006D7A95">
        <w:t xml:space="preserve">; range = </w:t>
      </w:r>
      <w:r w:rsidR="00314F3F">
        <w:t>22-68</w:t>
      </w:r>
      <w:r w:rsidR="006D7A95">
        <w:t xml:space="preserve">) </w:t>
      </w:r>
      <w:r w:rsidR="003D455C">
        <w:t>to identify the location</w:t>
      </w:r>
      <w:r w:rsidR="00EE5134">
        <w:t>s</w:t>
      </w:r>
      <w:r w:rsidR="003D455C">
        <w:t xml:space="preserve"> of mineral licks in the </w:t>
      </w:r>
      <w:proofErr w:type="spellStart"/>
      <w:r w:rsidR="003D455C">
        <w:t>Sucusari</w:t>
      </w:r>
      <w:proofErr w:type="spellEnd"/>
      <w:r w:rsidR="003D455C">
        <w:t xml:space="preserve"> River basin</w:t>
      </w:r>
      <w:r w:rsidR="00B66EA3">
        <w:t xml:space="preserve"> using participatory mapping techniques</w:t>
      </w:r>
      <w:r w:rsidR="00690D39">
        <w:t xml:space="preserve"> </w:t>
      </w:r>
      <w:r w:rsidR="00217803">
        <w:fldChar w:fldCharType="begin"/>
      </w:r>
      <w:r w:rsidR="00FD52E5">
        <w:instrText xml:space="preserve"> ADDIN ZOTERO_ITEM CSL_CITATION {"citationID":"jAIIutvb","properties":{"formattedCitation":"[20]","plainCitation":"[20]","noteIndex":0},"citationItems":[{"id":2109,"uris":["http://zotero.org/users/1105362/items/6G2PKDHP"],"uri":["http://zotero.org/users/1105362/items/6G2PKDHP"],"itemData":{"id":2109,"type":"article-journal","title":"The Maijuna participatory mapping project: mapping the past and the present for the future","container-title":"Perú: Maijuna, Rapid biological and social inventories Report","page":"233–242","volume":"22","source":"Google Scholar","title-short":"The Maijuna participatory mapping project","author":[{"family":"Gilmore","given":"Michael P."},{"family":"Young","given":"Jason C."}],"issued":{"date-parts":[["2010"]]}}}],"schema":"https://github.com/citation-style-language/schema/raw/master/csl-citation.json"} </w:instrText>
      </w:r>
      <w:r w:rsidR="00217803">
        <w:fldChar w:fldCharType="separate"/>
      </w:r>
      <w:r w:rsidR="00FD52E5">
        <w:rPr>
          <w:noProof/>
        </w:rPr>
        <w:t>[20]</w:t>
      </w:r>
      <w:r w:rsidR="00217803">
        <w:fldChar w:fldCharType="end"/>
      </w:r>
      <w:r w:rsidR="00217803">
        <w:fldChar w:fldCharType="begin"/>
      </w:r>
      <w:r w:rsidR="00FD52E5">
        <w:instrText xml:space="preserve"> ADDIN ZOTERO_ITEM CSL_CITATION {"citationID":"lU9ncmts","properties":{"formattedCitation":"[21]","plainCitation":"[21]","noteIndex":0},"citationItems":[{"id":110,"uris":["http://zotero.org/users/1105362/items/KI5TDAHC"],"uri":["http://zotero.org/users/1105362/items/KI5TDAHC"],"itemData":{"id":110,"type":"article-journal","title":"The Use of Participatory Mapping in Ethnobiological Research, Biocultural Conservation, and Community Empowerment: A Case Study From the Peruvian Amazon","container-title":"Journal of Ethnobiology","page":"6-29","volume":"32","issue":"1","source":"BioOne","DOI":"10.2993/0278-0771-32.1.6","ISSN":"0278-0771","title-short":"The Use of Participatory Mapping in Ethnobiological Research, Biocultural Conservation, and Community Empowerment","journalAbbreviation":"Journal of Ethnobiology","author":[{"family":"Gilmore","given":"Michael P."},{"family":"Young","given":"Jason C."}],"issued":{"date-parts":[["2012",7,1]]}}}],"schema":"https://github.com/citation-style-language/schema/raw/master/csl-citation.json"} </w:instrText>
      </w:r>
      <w:r w:rsidR="00217803">
        <w:fldChar w:fldCharType="separate"/>
      </w:r>
      <w:r w:rsidR="00FD52E5">
        <w:rPr>
          <w:noProof/>
        </w:rPr>
        <w:t>[21]</w:t>
      </w:r>
      <w:r w:rsidR="00217803">
        <w:fldChar w:fldCharType="end"/>
      </w:r>
      <w:r w:rsidR="003D455C">
        <w:t xml:space="preserve">. </w:t>
      </w:r>
      <w:r w:rsidR="00365DFF">
        <w:t>Mapped</w:t>
      </w:r>
      <w:r w:rsidR="00550E5E">
        <w:t xml:space="preserve"> mineral licks were then visited and the</w:t>
      </w:r>
      <w:r w:rsidR="00767E42">
        <w:t>ir</w:t>
      </w:r>
      <w:r w:rsidR="00550E5E">
        <w:t xml:space="preserve"> location</w:t>
      </w:r>
      <w:r w:rsidR="00767E42">
        <w:t>s</w:t>
      </w:r>
      <w:r w:rsidR="00550E5E">
        <w:t xml:space="preserve"> </w:t>
      </w:r>
      <w:r w:rsidR="00B66EA3">
        <w:t xml:space="preserve">marked </w:t>
      </w:r>
      <w:r w:rsidR="00550E5E">
        <w:t xml:space="preserve">using </w:t>
      </w:r>
      <w:r w:rsidR="00365DFF">
        <w:t xml:space="preserve">a hand-held </w:t>
      </w:r>
      <w:r w:rsidR="00550E5E">
        <w:t>GPS</w:t>
      </w:r>
      <w:r w:rsidR="00365DFF">
        <w:t xml:space="preserve"> unit</w:t>
      </w:r>
      <w:r w:rsidR="006B2663">
        <w:t xml:space="preserve"> to create a</w:t>
      </w:r>
      <w:r w:rsidR="00B66EA3">
        <w:t>n accurate</w:t>
      </w:r>
      <w:r w:rsidR="006B2663">
        <w:t xml:space="preserve"> base map of the mineral licks of the </w:t>
      </w:r>
      <w:proofErr w:type="spellStart"/>
      <w:r w:rsidR="006B2663">
        <w:t>Sucusari</w:t>
      </w:r>
      <w:proofErr w:type="spellEnd"/>
      <w:r w:rsidR="006B2663">
        <w:t xml:space="preserve"> River basin</w:t>
      </w:r>
      <w:r w:rsidR="00550E5E">
        <w:t xml:space="preserve">. </w:t>
      </w:r>
      <w:r w:rsidR="002C4154">
        <w:t xml:space="preserve">During an 11-month period from August 2018-June 2019, </w:t>
      </w:r>
      <w:r w:rsidR="00EE5134">
        <w:t xml:space="preserve">this </w:t>
      </w:r>
      <w:r w:rsidR="006B2663">
        <w:t xml:space="preserve">base map </w:t>
      </w:r>
      <w:r w:rsidR="00EE5134">
        <w:t xml:space="preserve">was </w:t>
      </w:r>
      <w:r w:rsidR="006B2663">
        <w:t>then used to interview 19</w:t>
      </w:r>
      <w:r w:rsidR="004B5B85">
        <w:t xml:space="preserve"> active hunters (91% of active hunters in the </w:t>
      </w:r>
      <w:proofErr w:type="spellStart"/>
      <w:r w:rsidR="004B5B85">
        <w:t>Sucusari</w:t>
      </w:r>
      <w:proofErr w:type="spellEnd"/>
      <w:r w:rsidR="004B5B85">
        <w:t xml:space="preserve"> community </w:t>
      </w:r>
      <w:r w:rsidR="008C612C">
        <w:t xml:space="preserve">during this time period; mean age = </w:t>
      </w:r>
      <w:r w:rsidR="00594E16">
        <w:t>41</w:t>
      </w:r>
      <w:r w:rsidR="008C612C">
        <w:t xml:space="preserve">; range = </w:t>
      </w:r>
      <w:r w:rsidR="00594E16">
        <w:t>22-68</w:t>
      </w:r>
      <w:r w:rsidR="006B2663">
        <w:t>)</w:t>
      </w:r>
      <w:r w:rsidR="004B5B85">
        <w:t xml:space="preserve"> on a weekly basis </w:t>
      </w:r>
      <w:r w:rsidR="006B2663">
        <w:t xml:space="preserve">about their hunting routes and the mineral licks that they </w:t>
      </w:r>
      <w:r w:rsidR="00911DAB">
        <w:t>visited</w:t>
      </w:r>
      <w:r w:rsidR="004B5B85">
        <w:t xml:space="preserve">. </w:t>
      </w:r>
      <w:r w:rsidR="00EE5134">
        <w:t xml:space="preserve">This </w:t>
      </w:r>
      <w:r w:rsidR="007F5141">
        <w:t xml:space="preserve">map was continually updated during this time period as new </w:t>
      </w:r>
      <w:r w:rsidR="007F5141">
        <w:lastRenderedPageBreak/>
        <w:t xml:space="preserve">mineral licks, trails, streams, and hunting camps were identified and mapped with a GPS. </w:t>
      </w:r>
      <w:r w:rsidR="00FD242A" w:rsidRPr="00FD242A">
        <w:t>To identify key</w:t>
      </w:r>
      <w:r w:rsidR="00FD242A">
        <w:t xml:space="preserve"> </w:t>
      </w:r>
      <w:r w:rsidR="00FD242A" w:rsidRPr="00FD242A">
        <w:t>themes, perceptions and issues</w:t>
      </w:r>
      <w:r w:rsidR="00294BBE">
        <w:t xml:space="preserve"> in the data collected</w:t>
      </w:r>
      <w:r w:rsidR="007C68B4">
        <w:t>,</w:t>
      </w:r>
      <w:r w:rsidR="00FD242A" w:rsidRPr="00FD242A">
        <w:t xml:space="preserve"> qualitative data were</w:t>
      </w:r>
      <w:r w:rsidR="00FD242A">
        <w:t xml:space="preserve"> </w:t>
      </w:r>
      <w:r w:rsidR="00FD242A" w:rsidRPr="00FD242A">
        <w:t xml:space="preserve">coded, organized and analyzed </w:t>
      </w:r>
      <w:r w:rsidR="00FD242A">
        <w:t xml:space="preserve">using a grounded theory framework </w:t>
      </w:r>
      <w:r w:rsidR="00FD242A" w:rsidRPr="00FD242A">
        <w:t>based on the methods described</w:t>
      </w:r>
      <w:r w:rsidR="00FD242A">
        <w:t xml:space="preserve"> </w:t>
      </w:r>
      <w:r w:rsidR="00FD242A" w:rsidRPr="00FD242A">
        <w:t>by Corbin</w:t>
      </w:r>
      <w:r w:rsidR="009E12DB">
        <w:t xml:space="preserve"> </w:t>
      </w:r>
      <w:r w:rsidR="009E12DB" w:rsidRPr="00FD242A">
        <w:t xml:space="preserve">and Strauss </w:t>
      </w:r>
      <w:r w:rsidR="009E12DB">
        <w:fldChar w:fldCharType="begin"/>
      </w:r>
      <w:r w:rsidR="00FD52E5">
        <w:instrText xml:space="preserve"> ADDIN ZOTERO_ITEM CSL_CITATION {"citationID":"gFgYyjIQ","properties":{"formattedCitation":"[22]","plainCitation":"[22]","noteIndex":0},"citationItems":[{"id":2123,"uris":["http://zotero.org/users/1105362/items/SVWDP6JP"],"uri":["http://zotero.org/users/1105362/items/SVWDP6JP"],"itemData":{"id":2123,"type":"book","title":"Basics of qualitative research: Techniques and procedures for developing grounded theory","publisher":"Sage publications","source":"Google Scholar","title-short":"Basics of qualitative research","author":[{"family":"Corbin","given":"Juliet"},{"family":"Strauss","given":"Anselm"}],"issued":{"date-parts":[["2014"]]}}}],"schema":"https://github.com/citation-style-language/schema/raw/master/csl-citation.json"} </w:instrText>
      </w:r>
      <w:r w:rsidR="009E12DB">
        <w:fldChar w:fldCharType="separate"/>
      </w:r>
      <w:r w:rsidR="00FD52E5">
        <w:rPr>
          <w:noProof/>
        </w:rPr>
        <w:t>[22]</w:t>
      </w:r>
      <w:r w:rsidR="009E12DB">
        <w:fldChar w:fldCharType="end"/>
      </w:r>
      <w:r w:rsidR="00FD242A">
        <w:t>.</w:t>
      </w:r>
    </w:p>
    <w:p w14:paraId="46A5B616" w14:textId="77777777" w:rsidR="00FD242A" w:rsidRDefault="00FD242A" w:rsidP="00CE00E0">
      <w:pPr>
        <w:spacing w:line="480" w:lineRule="auto"/>
      </w:pPr>
    </w:p>
    <w:p w14:paraId="58EF8EC0" w14:textId="2FC4FE36" w:rsidR="00F93ECD" w:rsidRDefault="00F93ECD" w:rsidP="00CE00E0">
      <w:pPr>
        <w:spacing w:line="480" w:lineRule="auto"/>
        <w:rPr>
          <w:b/>
          <w:bCs/>
        </w:rPr>
      </w:pPr>
      <w:r w:rsidRPr="00F93ECD">
        <w:rPr>
          <w:b/>
          <w:bCs/>
        </w:rPr>
        <w:t>Results and Discussion</w:t>
      </w:r>
    </w:p>
    <w:p w14:paraId="33592579" w14:textId="7DFF7436" w:rsidR="00996E7E" w:rsidRDefault="00996E7E" w:rsidP="00CE00E0">
      <w:pPr>
        <w:spacing w:line="480" w:lineRule="auto"/>
        <w:rPr>
          <w:b/>
          <w:bCs/>
        </w:rPr>
      </w:pPr>
    </w:p>
    <w:p w14:paraId="4C1A32FA" w14:textId="6AB9A040" w:rsidR="00996E7E" w:rsidRPr="009B5838" w:rsidRDefault="00524BEF" w:rsidP="00CE00E0">
      <w:pPr>
        <w:spacing w:line="480" w:lineRule="auto"/>
        <w:rPr>
          <w:u w:val="single"/>
        </w:rPr>
      </w:pPr>
      <w:r>
        <w:rPr>
          <w:u w:val="single"/>
        </w:rPr>
        <w:t>Classification</w:t>
      </w:r>
      <w:r w:rsidR="0075573A">
        <w:rPr>
          <w:u w:val="single"/>
        </w:rPr>
        <w:t xml:space="preserve"> and </w:t>
      </w:r>
      <w:r>
        <w:rPr>
          <w:u w:val="single"/>
        </w:rPr>
        <w:t>u</w:t>
      </w:r>
      <w:r w:rsidR="003E0A22">
        <w:rPr>
          <w:u w:val="single"/>
        </w:rPr>
        <w:t>se</w:t>
      </w:r>
      <w:r w:rsidR="0075573A">
        <w:rPr>
          <w:u w:val="single"/>
        </w:rPr>
        <w:t xml:space="preserve"> </w:t>
      </w:r>
      <w:r w:rsidR="009F0E3F">
        <w:rPr>
          <w:u w:val="single"/>
        </w:rPr>
        <w:t>of mineral licks</w:t>
      </w:r>
    </w:p>
    <w:p w14:paraId="3C42AEF1" w14:textId="38637CCD" w:rsidR="009B5838" w:rsidRDefault="009B5838" w:rsidP="00CE00E0">
      <w:pPr>
        <w:spacing w:line="480" w:lineRule="auto"/>
      </w:pPr>
    </w:p>
    <w:p w14:paraId="4FC7A090" w14:textId="5D64BE4A" w:rsidR="00761361" w:rsidRDefault="00611C5C" w:rsidP="00CE00E0">
      <w:pPr>
        <w:spacing w:line="480" w:lineRule="auto"/>
        <w:ind w:firstLine="720"/>
      </w:pPr>
      <w:r>
        <w:t>M</w:t>
      </w:r>
      <w:r w:rsidR="00E80B88">
        <w:t xml:space="preserve">ineral licks are called </w:t>
      </w:r>
      <w:proofErr w:type="spellStart"/>
      <w:r w:rsidR="00D4478B" w:rsidRPr="00D4478B">
        <w:rPr>
          <w:b/>
          <w:bCs/>
          <w:i/>
          <w:iCs/>
        </w:rPr>
        <w:t>tùàrà</w:t>
      </w:r>
      <w:r w:rsidR="004F16E3">
        <w:rPr>
          <w:vertAlign w:val="superscript"/>
        </w:rPr>
        <w:t>b</w:t>
      </w:r>
      <w:proofErr w:type="spellEnd"/>
      <w:r w:rsidR="00E80B88">
        <w:t xml:space="preserve"> (‘</w:t>
      </w:r>
      <w:r w:rsidR="00E80B88">
        <w:rPr>
          <w:noProof/>
        </w:rPr>
        <w:t>mineral lick’</w:t>
      </w:r>
      <w:r w:rsidR="00E80B88">
        <w:t xml:space="preserve">) or </w:t>
      </w:r>
      <w:proofErr w:type="spellStart"/>
      <w:r w:rsidR="00E72914">
        <w:rPr>
          <w:b/>
          <w:bCs/>
          <w:i/>
          <w:iCs/>
        </w:rPr>
        <w:t>ónób</w:t>
      </w:r>
      <w:r w:rsidR="00786E80">
        <w:rPr>
          <w:b/>
          <w:bCs/>
          <w:i/>
          <w:iCs/>
          <w:strike/>
        </w:rPr>
        <w:t>ì</w:t>
      </w:r>
      <w:proofErr w:type="spellEnd"/>
      <w:r w:rsidR="00E72914">
        <w:rPr>
          <w:b/>
          <w:bCs/>
          <w:i/>
          <w:iCs/>
        </w:rPr>
        <w:t xml:space="preserve"> </w:t>
      </w:r>
      <w:r w:rsidR="00E80B88">
        <w:t>(</w:t>
      </w:r>
      <w:r w:rsidR="00E80B88">
        <w:rPr>
          <w:noProof/>
        </w:rPr>
        <w:t xml:space="preserve">‘place of </w:t>
      </w:r>
      <w:proofErr w:type="spellStart"/>
      <w:r w:rsidR="00942603" w:rsidRPr="002C19EE">
        <w:rPr>
          <w:i/>
          <w:iCs/>
        </w:rPr>
        <w:t>masato</w:t>
      </w:r>
      <w:proofErr w:type="spellEnd"/>
      <w:r w:rsidR="00E80B88">
        <w:rPr>
          <w:noProof/>
        </w:rPr>
        <w:t>’</w:t>
      </w:r>
      <w:r w:rsidR="00E80B88">
        <w:t xml:space="preserve">) in the </w:t>
      </w:r>
      <w:proofErr w:type="spellStart"/>
      <w:r w:rsidR="00E80B88">
        <w:t>Maijuna</w:t>
      </w:r>
      <w:proofErr w:type="spellEnd"/>
      <w:r w:rsidR="00E80B88">
        <w:t xml:space="preserve"> language and </w:t>
      </w:r>
      <w:proofErr w:type="spellStart"/>
      <w:r w:rsidR="00E80B88" w:rsidRPr="003B4588">
        <w:rPr>
          <w:i/>
          <w:iCs/>
        </w:rPr>
        <w:t>co</w:t>
      </w:r>
      <w:r w:rsidR="003971F3">
        <w:rPr>
          <w:i/>
          <w:iCs/>
        </w:rPr>
        <w:t>l</w:t>
      </w:r>
      <w:r w:rsidR="00E80B88" w:rsidRPr="003B4588">
        <w:rPr>
          <w:i/>
          <w:iCs/>
        </w:rPr>
        <w:t>lpa</w:t>
      </w:r>
      <w:proofErr w:type="spellEnd"/>
      <w:r w:rsidR="00E80B88">
        <w:t xml:space="preserve"> in the local Spanish dialect. </w:t>
      </w:r>
      <w:r w:rsidR="00524BEF">
        <w:t xml:space="preserve">Mineral licks are one of dozens of different forest habitat types </w:t>
      </w:r>
      <w:r w:rsidR="00B52582">
        <w:t xml:space="preserve">defined and </w:t>
      </w:r>
      <w:r w:rsidR="00524BEF">
        <w:t xml:space="preserve">classified by the </w:t>
      </w:r>
      <w:proofErr w:type="spellStart"/>
      <w:r w:rsidR="00524BEF">
        <w:t>Maijuna</w:t>
      </w:r>
      <w:proofErr w:type="spellEnd"/>
      <w:r w:rsidR="00524BEF">
        <w:t xml:space="preserve">. </w:t>
      </w:r>
      <w:r w:rsidR="00B52582" w:rsidRPr="00B52582">
        <w:t xml:space="preserve">They classify </w:t>
      </w:r>
      <w:r w:rsidR="00322766">
        <w:t xml:space="preserve">forest </w:t>
      </w:r>
      <w:r w:rsidR="00B52582" w:rsidRPr="00B52582">
        <w:t>habitats based on geomorphology, physiognomy,</w:t>
      </w:r>
      <w:r w:rsidR="00B52582">
        <w:t xml:space="preserve"> </w:t>
      </w:r>
      <w:r w:rsidR="00B52582" w:rsidRPr="00B52582">
        <w:t xml:space="preserve">disturbance, indicator plant species, and </w:t>
      </w:r>
      <w:r w:rsidR="00B52582">
        <w:t>i</w:t>
      </w:r>
      <w:r w:rsidR="00B52582" w:rsidRPr="00B52582">
        <w:t>ndicator</w:t>
      </w:r>
      <w:r w:rsidR="00B52582">
        <w:t xml:space="preserve"> </w:t>
      </w:r>
      <w:r w:rsidR="00B52582" w:rsidRPr="00B52582">
        <w:t>animal species</w:t>
      </w:r>
      <w:r w:rsidR="00B52582">
        <w:t xml:space="preserve"> </w:t>
      </w:r>
      <w:r w:rsidR="00055B6C">
        <w:fldChar w:fldCharType="begin"/>
      </w:r>
      <w:r w:rsidR="00FD52E5">
        <w:instrText xml:space="preserve"> ADDIN ZOTERO_ITEM CSL_CITATION {"citationID":"FmPlPwbk","properties":{"formattedCitation":"[16]","plainCitation":"[16]","noteIndex":0},"citationItems":[{"id":2115,"uris":["http://zotero.org/users/1105362/items/JVU47FAQ"],"uri":["http://zotero.org/users/1105362/items/JVU47FAQ"],"itemData":{"id":2115,"type":"thesis","title":"An ethnoecological and ethnobotanical study of the Maijuna Indians of the Peruvian Amazon","publisher":"Miami University","genre":"PhD Thesis","source":"Google Scholar","author":[{"family":"Gilmore","given":"Michael Patrick"}],"issued":{"date-parts":[["2005"]]}}}],"schema":"https://github.com/citation-style-language/schema/raw/master/csl-citation.json"} </w:instrText>
      </w:r>
      <w:r w:rsidR="00055B6C">
        <w:fldChar w:fldCharType="separate"/>
      </w:r>
      <w:r w:rsidR="00FD52E5">
        <w:rPr>
          <w:noProof/>
        </w:rPr>
        <w:t>[16]</w:t>
      </w:r>
      <w:r w:rsidR="00055B6C">
        <w:fldChar w:fldCharType="end"/>
      </w:r>
      <w:r w:rsidR="00B52582" w:rsidRPr="00B52582">
        <w:t>.</w:t>
      </w:r>
      <w:r w:rsidR="00B52582">
        <w:t xml:space="preserve"> </w:t>
      </w:r>
      <w:r w:rsidR="00E80B88">
        <w:t xml:space="preserve">According to the </w:t>
      </w:r>
      <w:proofErr w:type="spellStart"/>
      <w:r w:rsidR="00E80B88">
        <w:t>Maijuna</w:t>
      </w:r>
      <w:proofErr w:type="spellEnd"/>
      <w:r w:rsidR="00E80B88">
        <w:t xml:space="preserve">, </w:t>
      </w:r>
      <w:r w:rsidR="00322766">
        <w:t>mineral licks</w:t>
      </w:r>
      <w:r w:rsidR="00E80B88">
        <w:t xml:space="preserve"> are found </w:t>
      </w:r>
      <w:r w:rsidR="00833F12">
        <w:t xml:space="preserve">at the base of hillsides </w:t>
      </w:r>
      <w:r w:rsidR="00E80B88">
        <w:t>in both floodplain and upland forest</w:t>
      </w:r>
      <w:r w:rsidR="00833F12">
        <w:t xml:space="preserve">, have a </w:t>
      </w:r>
      <w:r w:rsidR="00833F12" w:rsidRPr="00833F12">
        <w:rPr>
          <w:iCs/>
        </w:rPr>
        <w:t>‘face’ where animals come to consume soil or drink water</w:t>
      </w:r>
      <w:r w:rsidR="00833F12">
        <w:rPr>
          <w:iCs/>
        </w:rPr>
        <w:t xml:space="preserve">, and are </w:t>
      </w:r>
      <w:r w:rsidR="00833F12">
        <w:t>poorly drained and muddy areas</w:t>
      </w:r>
      <w:r w:rsidR="003754F3">
        <w:t>;</w:t>
      </w:r>
      <w:r w:rsidR="006A4971">
        <w:t xml:space="preserve"> </w:t>
      </w:r>
      <w:r w:rsidR="007F1488">
        <w:t xml:space="preserve">all of </w:t>
      </w:r>
      <w:r w:rsidR="006A4971">
        <w:t xml:space="preserve">which </w:t>
      </w:r>
      <w:r w:rsidR="00317C1A">
        <w:t xml:space="preserve">follows </w:t>
      </w:r>
      <w:r w:rsidR="00F948D2">
        <w:t>the Western scientific understanding of these areas as well</w:t>
      </w:r>
      <w:r w:rsidR="00673781">
        <w:t xml:space="preserve"> </w:t>
      </w:r>
      <w:r w:rsidR="00673781">
        <w:fldChar w:fldCharType="begin"/>
      </w:r>
      <w:r w:rsidR="00673781">
        <w:instrText xml:space="preserve"> ADDIN ZOTERO_ITEM CSL_CITATION {"citationID":"cQrZ7Lti","properties":{"formattedCitation":"[9]","plainCitation":"[9]","noteIndex":0},"citationItems":[{"id":2097,"uris":["http://zotero.org/users/1105362/items/NR32ERXP"],"uri":["http://zotero.org/users/1105362/items/NR32ERXP"],"itemData":{"id":2097,"type":"article-journal","title":"Use of mineral licks by mammals and birds in hunted and non-hunted areas of Y asuní N ational P ark, E cuador","container-title":"Animal Conservation","page":"430–437","volume":"16","issue":"4","source":"Google Scholar","author":[{"family":"Blake","given":"J. G."},{"family":"Mosquera","given":"D."},{"family":"Salvador","given":"J."}],"issued":{"date-parts":[["2013"]]}}}],"schema":"https://github.com/citation-style-language/schema/raw/master/csl-citation.json"} </w:instrText>
      </w:r>
      <w:r w:rsidR="00673781">
        <w:fldChar w:fldCharType="separate"/>
      </w:r>
      <w:r w:rsidR="00673781">
        <w:rPr>
          <w:noProof/>
        </w:rPr>
        <w:t>[9]</w:t>
      </w:r>
      <w:r w:rsidR="00673781">
        <w:fldChar w:fldCharType="end"/>
      </w:r>
      <w:r w:rsidR="00673781">
        <w:fldChar w:fldCharType="begin"/>
      </w:r>
      <w:r w:rsidR="00673781">
        <w:instrText xml:space="preserve"> ADDIN ZOTERO_ITEM CSL_CITATION {"citationID":"aFFVaZwK","properties":{"formattedCitation":"[23]","plainCitation":"[23]","noteIndex":0},"citationItems":[{"id":2173,"uris":["http://zotero.org/users/1105362/items/EB4EKR4H"],"uri":["http://zotero.org/users/1105362/items/EB4EKR4H"],"itemData":{"id":2173,"type":"article-journal","title":"Characteristics of natural salt licks located in the Colombian Amazon foothills","container-title":"Environmental geochemistry and health","page":"117–129","volume":"36","issue":"1","source":"Google Scholar","author":[{"family":"Molina","given":"Eduardo"},{"family":"León","given":"Tomás Enrique"},{"family":"Armenteras","given":"Dolors"}],"issued":{"date-parts":[["2014"]]}}}],"schema":"https://github.com/citation-style-language/schema/raw/master/csl-citation.json"} </w:instrText>
      </w:r>
      <w:r w:rsidR="00673781">
        <w:fldChar w:fldCharType="separate"/>
      </w:r>
      <w:r w:rsidR="00673781">
        <w:rPr>
          <w:noProof/>
        </w:rPr>
        <w:t>[23]</w:t>
      </w:r>
      <w:r w:rsidR="00673781">
        <w:fldChar w:fldCharType="end"/>
      </w:r>
      <w:r w:rsidR="00E80B88">
        <w:t xml:space="preserve">. </w:t>
      </w:r>
      <w:r w:rsidR="00761361">
        <w:t>In short, mineral licks are both culturally defined</w:t>
      </w:r>
      <w:r w:rsidR="002D4DD3">
        <w:t xml:space="preserve"> and</w:t>
      </w:r>
      <w:r w:rsidR="00761361">
        <w:t xml:space="preserve"> </w:t>
      </w:r>
      <w:r w:rsidR="00C614C4">
        <w:t xml:space="preserve">classified </w:t>
      </w:r>
      <w:r w:rsidR="00761361">
        <w:t xml:space="preserve">by the </w:t>
      </w:r>
      <w:proofErr w:type="spellStart"/>
      <w:r w:rsidR="00761361">
        <w:t>Maijuna</w:t>
      </w:r>
      <w:proofErr w:type="spellEnd"/>
      <w:r w:rsidR="002355B9">
        <w:t xml:space="preserve"> as </w:t>
      </w:r>
      <w:r w:rsidR="00761361">
        <w:t xml:space="preserve">is the case in other </w:t>
      </w:r>
      <w:r w:rsidR="00F00611">
        <w:t>I</w:t>
      </w:r>
      <w:r w:rsidR="00761361">
        <w:t>ndigenous and non-</w:t>
      </w:r>
      <w:r w:rsidR="00F00611">
        <w:t>I</w:t>
      </w:r>
      <w:r w:rsidR="00761361">
        <w:t xml:space="preserve">ndigenous communities </w:t>
      </w:r>
      <w:r w:rsidR="002355B9">
        <w:t>in</w:t>
      </w:r>
      <w:r w:rsidR="00761361">
        <w:t xml:space="preserve"> the Peruvian Amazon</w:t>
      </w:r>
      <w:r w:rsidR="00AB0C99">
        <w:t xml:space="preserve"> </w:t>
      </w:r>
      <w:r w:rsidR="00AB0C99">
        <w:fldChar w:fldCharType="begin"/>
      </w:r>
      <w:r w:rsidR="00673781">
        <w:instrText xml:space="preserve"> ADDIN ZOTERO_ITEM CSL_CITATION {"citationID":"nCAcWqQO","properties":{"formattedCitation":"[24]","plainCitation":"[24]","noteIndex":0},"citationItems":[{"id":2126,"uris":["http://zotero.org/users/1105362/items/KQB2ZIXC"],"uri":["http://zotero.org/users/1105362/items/KQB2ZIXC"],"itemData":{"id":2126,"type":"article-journal","title":"Matses Indian rainforest habitat classification and mammalian diversity in Amazonian Peru","container-title":"J. Ethnobiol","page":"1–36","volume":"20","source":"Google Scholar","author":[{"family":"Fleck","given":"David W."},{"family":"Harder","given":"John D."}],"issued":{"date-parts":[["2000"]]}}}],"schema":"https://github.com/citation-style-language/schema/raw/master/csl-citation.json"} </w:instrText>
      </w:r>
      <w:r w:rsidR="00AB0C99">
        <w:fldChar w:fldCharType="separate"/>
      </w:r>
      <w:r w:rsidR="00673781">
        <w:rPr>
          <w:noProof/>
        </w:rPr>
        <w:t>[24]</w:t>
      </w:r>
      <w:r w:rsidR="00AB0C99">
        <w:fldChar w:fldCharType="end"/>
      </w:r>
      <w:r w:rsidR="00490CDC">
        <w:fldChar w:fldCharType="begin"/>
      </w:r>
      <w:r w:rsidR="00673781">
        <w:instrText xml:space="preserve"> ADDIN ZOTERO_ITEM CSL_CITATION {"citationID":"G6WC9lui","properties":{"formattedCitation":"[25]","plainCitation":"[25]","noteIndex":0},"citationItems":[{"id":2128,"uris":["http://zotero.org/users/1105362/items/GV8U5TDI"],"uri":["http://zotero.org/users/1105362/items/GV8U5TDI"],"itemData":{"id":2128,"type":"article-journal","title":"Rain forest habitat classification among the Matsigenka of the Peruvian Amazon","container-title":"Journal of Ethnobiology","page":"1–38","volume":"21","issue":"1","source":"Google Scholar","author":[{"family":"Shepard","given":"Glenn"},{"family":"Yu","given":"Douglas W."},{"family":"Lizarralde","given":"Manuel"},{"family":"Italiano","given":"Mateo"}],"issued":{"date-parts":[["2001"]]}}}],"schema":"https://github.com/citation-style-language/schema/raw/master/csl-citation.json"} </w:instrText>
      </w:r>
      <w:r w:rsidR="00490CDC">
        <w:fldChar w:fldCharType="separate"/>
      </w:r>
      <w:r w:rsidR="00673781">
        <w:rPr>
          <w:noProof/>
        </w:rPr>
        <w:t>[25]</w:t>
      </w:r>
      <w:r w:rsidR="00490CDC">
        <w:fldChar w:fldCharType="end"/>
      </w:r>
      <w:r w:rsidR="00761361">
        <w:t xml:space="preserve">. </w:t>
      </w:r>
    </w:p>
    <w:p w14:paraId="5EF26F55" w14:textId="7CE4F658" w:rsidR="00A36599" w:rsidRDefault="00D40D26" w:rsidP="00CE00E0">
      <w:pPr>
        <w:spacing w:line="480" w:lineRule="auto"/>
        <w:ind w:firstLine="720"/>
      </w:pPr>
      <w:r>
        <w:t>M</w:t>
      </w:r>
      <w:r w:rsidR="00F51ABA">
        <w:t xml:space="preserve">ineral licks are culturally and economically </w:t>
      </w:r>
      <w:r w:rsidR="00395260">
        <w:t xml:space="preserve">important </w:t>
      </w:r>
      <w:r w:rsidR="00F51ABA">
        <w:t xml:space="preserve">to the </w:t>
      </w:r>
      <w:proofErr w:type="spellStart"/>
      <w:r w:rsidR="00F51ABA">
        <w:t>Maijuna</w:t>
      </w:r>
      <w:proofErr w:type="spellEnd"/>
      <w:r w:rsidR="00F51ABA">
        <w:t xml:space="preserve"> because </w:t>
      </w:r>
      <w:proofErr w:type="gramStart"/>
      <w:r w:rsidR="00F51ABA">
        <w:t>a number of</w:t>
      </w:r>
      <w:proofErr w:type="gramEnd"/>
      <w:r w:rsidR="00F51ABA">
        <w:t xml:space="preserve"> </w:t>
      </w:r>
      <w:r w:rsidR="0038173A">
        <w:t xml:space="preserve">game animals </w:t>
      </w:r>
      <w:r w:rsidR="00F51ABA">
        <w:t xml:space="preserve">visit these sites </w:t>
      </w:r>
      <w:r w:rsidR="00D27F0D">
        <w:t>and hunters target these areas year-round for hunting</w:t>
      </w:r>
      <w:r w:rsidR="00F51ABA">
        <w:t>.</w:t>
      </w:r>
      <w:r w:rsidR="00FF1524" w:rsidRPr="00FF1524">
        <w:t xml:space="preserve"> These </w:t>
      </w:r>
      <w:r w:rsidR="0038173A">
        <w:t xml:space="preserve">mammal and bird species </w:t>
      </w:r>
      <w:r w:rsidR="00FF1524" w:rsidRPr="00FF1524">
        <w:t>are either diurnal</w:t>
      </w:r>
      <w:r w:rsidR="00A373B1">
        <w:t xml:space="preserve"> or nocturnal</w:t>
      </w:r>
      <w:r w:rsidR="00FF1524" w:rsidRPr="00FF1524">
        <w:t xml:space="preserve">, therefore, </w:t>
      </w:r>
      <w:proofErr w:type="spellStart"/>
      <w:r w:rsidR="00FF1524" w:rsidRPr="00FF1524">
        <w:t>Maijuna</w:t>
      </w:r>
      <w:proofErr w:type="spellEnd"/>
      <w:r w:rsidR="00FF1524" w:rsidRPr="00FF1524">
        <w:t xml:space="preserve"> hunters target mineral licks both day and night revealing an important temporal relationship with these areas </w:t>
      </w:r>
      <w:r w:rsidR="00FF1524" w:rsidRPr="00FF1524">
        <w:lastRenderedPageBreak/>
        <w:t xml:space="preserve">(Table </w:t>
      </w:r>
      <w:r w:rsidR="00CC2191">
        <w:t>1</w:t>
      </w:r>
      <w:r w:rsidR="00FF1524" w:rsidRPr="00FF1524">
        <w:t>).</w:t>
      </w:r>
      <w:r w:rsidR="00F51ABA">
        <w:t xml:space="preserve"> </w:t>
      </w:r>
      <w:r w:rsidR="00630EE5">
        <w:t>Hunted species at mineral licks include some of the most important game species</w:t>
      </w:r>
      <w:r w:rsidR="004662C0">
        <w:t xml:space="preserve"> in </w:t>
      </w:r>
      <w:proofErr w:type="spellStart"/>
      <w:r w:rsidR="004662C0">
        <w:t>Maijuna</w:t>
      </w:r>
      <w:proofErr w:type="spellEnd"/>
      <w:r w:rsidR="004662C0">
        <w:t xml:space="preserve"> lands</w:t>
      </w:r>
      <w:r w:rsidR="00630EE5">
        <w:t>, including paca (</w:t>
      </w:r>
      <w:r w:rsidR="00630EE5">
        <w:rPr>
          <w:i/>
        </w:rPr>
        <w:t>C. paca</w:t>
      </w:r>
      <w:r w:rsidR="00630EE5">
        <w:t>), collared peccary (</w:t>
      </w:r>
      <w:r w:rsidR="00630EE5" w:rsidRPr="00231413">
        <w:rPr>
          <w:i/>
          <w:iCs/>
        </w:rPr>
        <w:t>T</w:t>
      </w:r>
      <w:r w:rsidR="00630EE5">
        <w:rPr>
          <w:i/>
          <w:iCs/>
        </w:rPr>
        <w:t>.</w:t>
      </w:r>
      <w:r w:rsidR="00630EE5" w:rsidRPr="00231413">
        <w:rPr>
          <w:i/>
          <w:iCs/>
        </w:rPr>
        <w:t xml:space="preserve"> </w:t>
      </w:r>
      <w:proofErr w:type="spellStart"/>
      <w:r w:rsidR="00630EE5">
        <w:rPr>
          <w:i/>
          <w:iCs/>
        </w:rPr>
        <w:t>tajacu</w:t>
      </w:r>
      <w:proofErr w:type="spellEnd"/>
      <w:r w:rsidR="00630EE5">
        <w:t>), white-lipped peccary (</w:t>
      </w:r>
      <w:r w:rsidR="00630EE5" w:rsidRPr="00231413">
        <w:rPr>
          <w:i/>
          <w:iCs/>
        </w:rPr>
        <w:t>T</w:t>
      </w:r>
      <w:r w:rsidR="00630EE5">
        <w:rPr>
          <w:i/>
          <w:iCs/>
        </w:rPr>
        <w:t>.</w:t>
      </w:r>
      <w:r w:rsidR="00630EE5" w:rsidRPr="00231413">
        <w:rPr>
          <w:i/>
          <w:iCs/>
        </w:rPr>
        <w:t xml:space="preserve"> </w:t>
      </w:r>
      <w:proofErr w:type="spellStart"/>
      <w:r w:rsidR="00630EE5" w:rsidRPr="00231413">
        <w:rPr>
          <w:i/>
          <w:iCs/>
        </w:rPr>
        <w:t>pecari</w:t>
      </w:r>
      <w:proofErr w:type="spellEnd"/>
      <w:r w:rsidR="00630EE5">
        <w:t>), red brocket deer (</w:t>
      </w:r>
      <w:r w:rsidR="00630EE5">
        <w:rPr>
          <w:i/>
        </w:rPr>
        <w:t xml:space="preserve">M. </w:t>
      </w:r>
      <w:proofErr w:type="spellStart"/>
      <w:r w:rsidR="00630EE5">
        <w:rPr>
          <w:i/>
        </w:rPr>
        <w:t>americana</w:t>
      </w:r>
      <w:proofErr w:type="spellEnd"/>
      <w:r w:rsidR="00630EE5">
        <w:t>)</w:t>
      </w:r>
      <w:r w:rsidR="0010477D">
        <w:t>, and tapir (</w:t>
      </w:r>
      <w:r w:rsidR="0010477D" w:rsidRPr="00231413">
        <w:rPr>
          <w:i/>
        </w:rPr>
        <w:t>T</w:t>
      </w:r>
      <w:r w:rsidR="0010477D">
        <w:rPr>
          <w:i/>
        </w:rPr>
        <w:t>.</w:t>
      </w:r>
      <w:r w:rsidR="0010477D" w:rsidRPr="00231413">
        <w:rPr>
          <w:i/>
        </w:rPr>
        <w:t xml:space="preserve"> </w:t>
      </w:r>
      <w:proofErr w:type="spellStart"/>
      <w:r w:rsidR="0010477D" w:rsidRPr="00231413">
        <w:rPr>
          <w:i/>
        </w:rPr>
        <w:t>terrestris</w:t>
      </w:r>
      <w:proofErr w:type="spellEnd"/>
      <w:r w:rsidR="0010477D">
        <w:rPr>
          <w:iCs/>
        </w:rPr>
        <w:t>)</w:t>
      </w:r>
      <w:r w:rsidR="004B2A60">
        <w:t>, all of which are well documented in the literature for visiting mineral licks</w:t>
      </w:r>
      <w:r w:rsidR="00240F83">
        <w:t xml:space="preserve"> </w:t>
      </w:r>
      <w:r w:rsidR="00240F83">
        <w:fldChar w:fldCharType="begin"/>
      </w:r>
      <w:r w:rsidR="00240F83">
        <w:instrText xml:space="preserve"> ADDIN ZOTERO_ITEM CSL_CITATION {"citationID":"KnFa19qI","properties":{"formattedCitation":"[8]","plainCitation":"[8]","noteIndex":0},"citationItems":[{"id":2094,"uris":["http://zotero.org/users/1105362/items/AXLH6MFY"],"uri":["http://zotero.org/users/1105362/items/AXLH6MFY"],"itemData":{"id":2094,"type":"article-journal","title":"Habitat use, activity patterns and use of mineral licks by five species of ungulate in south-eastern Peru","container-title":"Journal of Tropical Ecology","page":"261–270","volume":"25","issue":"3","source":"Google Scholar","author":[{"family":"Tobler","given":"Mathias W."},{"family":"Carrillo-Percastegui","given":"Samia E."},{"family":"Powell","given":"George"}],"issued":{"date-parts":[["2009"]]}}}],"schema":"https://github.com/citation-style-language/schema/raw/master/csl-citation.json"} </w:instrText>
      </w:r>
      <w:r w:rsidR="00240F83">
        <w:fldChar w:fldCharType="separate"/>
      </w:r>
      <w:r w:rsidR="00240F83">
        <w:rPr>
          <w:noProof/>
        </w:rPr>
        <w:t>[8]</w:t>
      </w:r>
      <w:r w:rsidR="00240F83">
        <w:fldChar w:fldCharType="end"/>
      </w:r>
      <w:r w:rsidR="0019126E">
        <w:fldChar w:fldCharType="begin"/>
      </w:r>
      <w:r w:rsidR="0019126E">
        <w:instrText xml:space="preserve"> ADDIN ZOTERO_ITEM CSL_CITATION {"citationID":"t3m6HWSb","properties":{"formattedCitation":"[9]","plainCitation":"[9]","noteIndex":0},"citationItems":[{"id":2097,"uris":["http://zotero.org/users/1105362/items/NR32ERXP"],"uri":["http://zotero.org/users/1105362/items/NR32ERXP"],"itemData":{"id":2097,"type":"article-journal","title":"Use of mineral licks by mammals and birds in hunted and non-hunted areas of Y asuní N ational P ark, E cuador","container-title":"Animal Conservation","page":"430–437","volume":"16","issue":"4","source":"Google Scholar","author":[{"family":"Blake","given":"J. G."},{"family":"Mosquera","given":"D."},{"family":"Salvador","given":"J."}],"issued":{"date-parts":[["2013"]]}}}],"schema":"https://github.com/citation-style-language/schema/raw/master/csl-citation.json"} </w:instrText>
      </w:r>
      <w:r w:rsidR="0019126E">
        <w:fldChar w:fldCharType="separate"/>
      </w:r>
      <w:r w:rsidR="0019126E">
        <w:rPr>
          <w:noProof/>
        </w:rPr>
        <w:t>[9]</w:t>
      </w:r>
      <w:r w:rsidR="0019126E">
        <w:fldChar w:fldCharType="end"/>
      </w:r>
      <w:r w:rsidR="0019126E">
        <w:fldChar w:fldCharType="begin"/>
      </w:r>
      <w:r w:rsidR="0019126E">
        <w:instrText xml:space="preserve"> ADDIN ZOTERO_ITEM CSL_CITATION {"citationID":"UAaOAj3r","properties":{"formattedCitation":"[23]","plainCitation":"[23]","noteIndex":0},"citationItems":[{"id":2173,"uris":["http://zotero.org/users/1105362/items/EB4EKR4H"],"uri":["http://zotero.org/users/1105362/items/EB4EKR4H"],"itemData":{"id":2173,"type":"article-journal","title":"Characteristics of natural salt licks located in the Colombian Amazon foothills","container-title":"Environmental geochemistry and health","page":"117–129","volume":"36","issue":"1","source":"Google Scholar","author":[{"family":"Molina","given":"Eduardo"},{"family":"León","given":"Tomás Enrique"},{"family":"Armenteras","given":"Dolors"}],"issued":{"date-parts":[["2014"]]}}}],"schema":"https://github.com/citation-style-language/schema/raw/master/csl-citation.json"} </w:instrText>
      </w:r>
      <w:r w:rsidR="0019126E">
        <w:fldChar w:fldCharType="separate"/>
      </w:r>
      <w:r w:rsidR="0019126E">
        <w:rPr>
          <w:noProof/>
        </w:rPr>
        <w:t>[23]</w:t>
      </w:r>
      <w:r w:rsidR="0019126E">
        <w:fldChar w:fldCharType="end"/>
      </w:r>
      <w:r w:rsidR="004B2A60">
        <w:t>.</w:t>
      </w:r>
      <w:r w:rsidR="002040E5">
        <w:t xml:space="preserve"> </w:t>
      </w:r>
      <w:r w:rsidR="008F33A3">
        <w:t>The meat of the</w:t>
      </w:r>
      <w:r w:rsidR="00012668">
        <w:t>se</w:t>
      </w:r>
      <w:r w:rsidR="008F33A3">
        <w:t xml:space="preserve"> species is not only consumed for </w:t>
      </w:r>
      <w:r w:rsidR="00090DCD">
        <w:t>subsistence,</w:t>
      </w:r>
      <w:r w:rsidR="008F33A3">
        <w:t xml:space="preserve"> but it is also sold </w:t>
      </w:r>
      <w:r w:rsidR="00090DCD">
        <w:t xml:space="preserve">to </w:t>
      </w:r>
      <w:r w:rsidR="008F33A3">
        <w:t>generate income. Parts of these animals are also used in the making of tourist crafts, traditional medicines, and musical instruments, among other</w:t>
      </w:r>
      <w:r w:rsidR="00B01D25">
        <w:t xml:space="preserve"> things</w:t>
      </w:r>
      <w:r w:rsidR="008F33A3">
        <w:t>.</w:t>
      </w:r>
    </w:p>
    <w:p w14:paraId="2BC49CE7" w14:textId="456D7D46" w:rsidR="00D27F0D" w:rsidRDefault="00AD7C88" w:rsidP="00CE00E0">
      <w:pPr>
        <w:spacing w:line="480" w:lineRule="auto"/>
        <w:ind w:firstLine="720"/>
      </w:pPr>
      <w:r>
        <w:t xml:space="preserve">Hunting at mineral licks takes several forms. </w:t>
      </w:r>
      <w:r w:rsidR="00F52648">
        <w:t xml:space="preserve">While walking trails </w:t>
      </w:r>
      <w:r w:rsidR="000A53CE">
        <w:t>on</w:t>
      </w:r>
      <w:r w:rsidR="00F52648">
        <w:t xml:space="preserve"> hunting trips</w:t>
      </w:r>
      <w:r w:rsidR="00480E38">
        <w:t xml:space="preserve"> during the day and night</w:t>
      </w:r>
      <w:r w:rsidR="00F52648">
        <w:t xml:space="preserve">, hunters </w:t>
      </w:r>
      <w:r w:rsidR="0070495A">
        <w:t xml:space="preserve">will </w:t>
      </w:r>
      <w:r w:rsidR="00850394">
        <w:t xml:space="preserve">quickly </w:t>
      </w:r>
      <w:r w:rsidR="00F52648">
        <w:t xml:space="preserve">stop by mineral licks along their routes to see if they can </w:t>
      </w:r>
      <w:r w:rsidR="000A5590">
        <w:t xml:space="preserve">opportunistically </w:t>
      </w:r>
      <w:r w:rsidR="00F52648">
        <w:t xml:space="preserve">catch game species </w:t>
      </w:r>
      <w:r w:rsidR="00133AFC">
        <w:t>in</w:t>
      </w:r>
      <w:r w:rsidR="00F52648">
        <w:t xml:space="preserve"> the lick and to also check for </w:t>
      </w:r>
      <w:r w:rsidR="00133AFC">
        <w:t xml:space="preserve">signs of </w:t>
      </w:r>
      <w:r w:rsidR="00F52648">
        <w:t>animal activity</w:t>
      </w:r>
      <w:r w:rsidR="00133AFC">
        <w:t xml:space="preserve"> </w:t>
      </w:r>
      <w:r w:rsidR="00BB4578">
        <w:t xml:space="preserve">(i.e., </w:t>
      </w:r>
      <w:r w:rsidR="00D912C0">
        <w:t>animal tracks</w:t>
      </w:r>
      <w:r w:rsidR="00BB4578">
        <w:t>).</w:t>
      </w:r>
      <w:r w:rsidR="00E64D7A">
        <w:t xml:space="preserve"> Additionally, </w:t>
      </w:r>
      <w:r w:rsidR="00A626F7">
        <w:t xml:space="preserve">hunters </w:t>
      </w:r>
      <w:r w:rsidR="00850394">
        <w:t xml:space="preserve">will </w:t>
      </w:r>
      <w:r w:rsidR="00722D93">
        <w:t xml:space="preserve">wait </w:t>
      </w:r>
      <w:r w:rsidR="0070495A">
        <w:t xml:space="preserve">alone </w:t>
      </w:r>
      <w:r w:rsidR="00722D93">
        <w:t xml:space="preserve">for </w:t>
      </w:r>
      <w:r w:rsidR="0070495A">
        <w:t xml:space="preserve">several hours at a time at licks with signs of animal activity during both the day and night. </w:t>
      </w:r>
      <w:r w:rsidR="00643F69">
        <w:t>They l</w:t>
      </w:r>
      <w:r w:rsidR="00D62F75">
        <w:t>ie</w:t>
      </w:r>
      <w:r w:rsidR="00643F69">
        <w:t xml:space="preserve"> </w:t>
      </w:r>
      <w:r w:rsidR="00D62F75">
        <w:t xml:space="preserve">in </w:t>
      </w:r>
      <w:r w:rsidR="00643F69">
        <w:t xml:space="preserve">wait at strategic </w:t>
      </w:r>
      <w:r w:rsidR="00FA0C63">
        <w:t>spots</w:t>
      </w:r>
      <w:r w:rsidR="00643F69">
        <w:t xml:space="preserve"> above licks with good views and clear shots of the area. </w:t>
      </w:r>
      <w:r w:rsidR="00FA0C63">
        <w:t>At these strategic spots they will either sit on the ground, make a hunting platform, or string up a hammock between two trees. At night, they lie in wait with their flashlight off listening for animal activity and</w:t>
      </w:r>
      <w:r w:rsidR="00A36599">
        <w:t xml:space="preserve">, according to hunters, </w:t>
      </w:r>
      <w:r w:rsidR="003F3DAB">
        <w:t xml:space="preserve">they </w:t>
      </w:r>
      <w:r w:rsidR="00A36599">
        <w:t xml:space="preserve">can </w:t>
      </w:r>
      <w:r w:rsidR="00FA0C63">
        <w:t>tell the species entering the lick by the amount and type of noise that it makes</w:t>
      </w:r>
      <w:r w:rsidR="003F3DAB">
        <w:t xml:space="preserve"> as it walks through the mud and standing water to the lick ‘face’</w:t>
      </w:r>
      <w:r w:rsidR="00FA0C63">
        <w:t xml:space="preserve">. If it is a desirable species, the hunter will then </w:t>
      </w:r>
      <w:r w:rsidR="00A36599">
        <w:t xml:space="preserve">attempt to ambush the animal by </w:t>
      </w:r>
      <w:r w:rsidR="00FA0C63">
        <w:t>turn</w:t>
      </w:r>
      <w:r w:rsidR="00A36599">
        <w:t>ing</w:t>
      </w:r>
      <w:r w:rsidR="00FA0C63">
        <w:t xml:space="preserve"> on their flashlight when it has reached a desirable location in the lick with a clear shot.</w:t>
      </w:r>
    </w:p>
    <w:p w14:paraId="4A17BC02" w14:textId="54D885B5" w:rsidR="00681E87" w:rsidRDefault="00681E87" w:rsidP="00CE00E0">
      <w:pPr>
        <w:spacing w:line="480" w:lineRule="auto"/>
        <w:ind w:firstLine="720"/>
      </w:pPr>
      <w:r>
        <w:t xml:space="preserve">Eighty-four mineral licks were identified and had their locations fixed by GPS in the </w:t>
      </w:r>
      <w:proofErr w:type="spellStart"/>
      <w:r>
        <w:t>Sucusari</w:t>
      </w:r>
      <w:proofErr w:type="spellEnd"/>
      <w:r>
        <w:t xml:space="preserve"> River basin during this study. Of these, 4</w:t>
      </w:r>
      <w:r w:rsidR="002436DF">
        <w:t>3</w:t>
      </w:r>
      <w:r>
        <w:t xml:space="preserve"> were regularly visited by hunters during </w:t>
      </w:r>
      <w:r w:rsidR="007864B5">
        <w:t>the</w:t>
      </w:r>
      <w:r>
        <w:t xml:space="preserve"> 11-month period from August 2018-June 2019. However, during this time period, all hunters did not regularly or equally visit each of these 4</w:t>
      </w:r>
      <w:r w:rsidR="009F6474">
        <w:t>3</w:t>
      </w:r>
      <w:r>
        <w:t xml:space="preserve"> licks. Instead, clear spatial use of 38 of these </w:t>
      </w:r>
      <w:r>
        <w:lastRenderedPageBreak/>
        <w:t xml:space="preserve">mineral licks is observed when analyzing the data by family, with each family having distinct mineral licks that they regularly hunt at that others do not enter (Figure 2). A family, for the sake of this analysis, was defined as a group of individuals united by ties of blood, adoption, or marriage that live in the same household, with some households having multiple hunters that hunt at the same licks. For example, one family during this time period was composed of four individuals, a mother and father with two grown sons (ages 28 and 33) that hunt at the same mineral licks (Family </w:t>
      </w:r>
      <w:r w:rsidR="00220598">
        <w:t>6</w:t>
      </w:r>
      <w:r>
        <w:t xml:space="preserve">, Figure 2). However, the older brother (age 45) of these two hunters lives in a different household with his own wife and children and hunted at totally different mineral licks (Family </w:t>
      </w:r>
      <w:r w:rsidR="00A00F94">
        <w:t>11</w:t>
      </w:r>
      <w:r>
        <w:t xml:space="preserve">, Figure 2). Although 100% of the hunters interviewed during this 11-month period said that they can hunt </w:t>
      </w:r>
      <w:r w:rsidR="001F0381">
        <w:t xml:space="preserve">at whatever mineral lick </w:t>
      </w:r>
      <w:r>
        <w:t xml:space="preserve">they want in the </w:t>
      </w:r>
      <w:proofErr w:type="spellStart"/>
      <w:r>
        <w:t>Sucusari</w:t>
      </w:r>
      <w:proofErr w:type="spellEnd"/>
      <w:r>
        <w:t xml:space="preserve"> River basin, including in another family’s licks, clear spatial </w:t>
      </w:r>
      <w:r w:rsidR="00DA54BF">
        <w:t>segregation</w:t>
      </w:r>
      <w:r>
        <w:t xml:space="preserve"> is in fact carried out and observable</w:t>
      </w:r>
      <w:r w:rsidR="00A40372">
        <w:t xml:space="preserve">. Knowledge of mineral licks is passed down through generations, although a hunter marrying into another family </w:t>
      </w:r>
      <w:r w:rsidR="0078639B">
        <w:t>will</w:t>
      </w:r>
      <w:r w:rsidR="00A40372">
        <w:t xml:space="preserve"> often be taken to the family’s licks. This spatial segregation of licks</w:t>
      </w:r>
      <w:r>
        <w:t xml:space="preserve"> demonstrat</w:t>
      </w:r>
      <w:r w:rsidR="00A40372">
        <w:t xml:space="preserve">es </w:t>
      </w:r>
      <w:r>
        <w:t xml:space="preserve">the power of traditional resource use rights and strategies. The mineral licks that individual families do hunt at tend to be accessible by trail from either their primary residence or hunting camp(s), with hunting camps </w:t>
      </w:r>
      <w:proofErr w:type="gramStart"/>
      <w:r>
        <w:t>being located in</w:t>
      </w:r>
      <w:proofErr w:type="gramEnd"/>
      <w:r>
        <w:t xml:space="preserve"> more remote parts of the river basin. It is worth noting that only </w:t>
      </w:r>
      <w:r w:rsidR="009F6474">
        <w:t>five</w:t>
      </w:r>
      <w:r>
        <w:t xml:space="preserve"> mineral licks out of the 4</w:t>
      </w:r>
      <w:r w:rsidR="00447166">
        <w:t>3</w:t>
      </w:r>
      <w:r>
        <w:t xml:space="preserve"> frequented during this time period were </w:t>
      </w:r>
      <w:r w:rsidR="00D62F75">
        <w:t xml:space="preserve">regularly </w:t>
      </w:r>
      <w:r>
        <w:t>visited by multiple families (Figure 2). These mineral licks tend to be very close to well-known and regularly used hunting camps and are easier to access.</w:t>
      </w:r>
    </w:p>
    <w:p w14:paraId="733CF03A" w14:textId="3B0939EA" w:rsidR="005D05F3" w:rsidRDefault="003117F2" w:rsidP="00CE00E0">
      <w:pPr>
        <w:spacing w:line="480" w:lineRule="auto"/>
        <w:ind w:firstLine="720"/>
      </w:pPr>
      <w:r>
        <w:t>Due to their use and significance</w:t>
      </w:r>
      <w:r w:rsidR="005D05F3">
        <w:t xml:space="preserve"> to the </w:t>
      </w:r>
      <w:proofErr w:type="spellStart"/>
      <w:r w:rsidR="005D05F3">
        <w:t>Maijuna</w:t>
      </w:r>
      <w:proofErr w:type="spellEnd"/>
      <w:r w:rsidR="00B3441C">
        <w:t xml:space="preserve">, </w:t>
      </w:r>
      <w:r>
        <w:t>mineral licks</w:t>
      </w:r>
      <w:r w:rsidR="00B3441C">
        <w:t xml:space="preserve"> </w:t>
      </w:r>
      <w:r>
        <w:t xml:space="preserve">appear to </w:t>
      </w:r>
      <w:r w:rsidR="008B66B0">
        <w:t>be a textbook</w:t>
      </w:r>
      <w:r>
        <w:t xml:space="preserve"> example of what Posey (</w:t>
      </w:r>
      <w:r w:rsidR="00382157">
        <w:fldChar w:fldCharType="begin"/>
      </w:r>
      <w:r w:rsidR="00673781">
        <w:instrText xml:space="preserve"> ADDIN ZOTERO_ITEM CSL_CITATION {"citationID":"0oJXCrgI","properties":{"formattedCitation":"[26]","plainCitation":"[26]","noteIndex":0},"citationItems":[{"id":2130,"uris":["http://zotero.org/users/1105362/items/BJ96SE3L"],"uri":["http://zotero.org/users/1105362/items/BJ96SE3L"],"itemData":{"id":2130,"type":"article-journal","title":"A preliminary report on diversified management of tropical forest by the Kayapo Indians of the Brazilian Amazon","container-title":"Advances in Economic Botany","page":"112–126","volume":"1","source":"Google Scholar","author":[{"family":"Posey","given":"Darrell A."}],"issued":{"date-parts":[["1984"]]}}}],"schema":"https://github.com/citation-style-language/schema/raw/master/csl-citation.json"} </w:instrText>
      </w:r>
      <w:r w:rsidR="00382157">
        <w:fldChar w:fldCharType="separate"/>
      </w:r>
      <w:r w:rsidR="00673781">
        <w:rPr>
          <w:noProof/>
        </w:rPr>
        <w:t>[26]</w:t>
      </w:r>
      <w:r w:rsidR="00382157">
        <w:fldChar w:fldCharType="end"/>
      </w:r>
      <w:r w:rsidR="005D05F3">
        <w:t>: 117</w:t>
      </w:r>
      <w:r>
        <w:t xml:space="preserve">) referred to as “resource islands”. </w:t>
      </w:r>
      <w:r w:rsidR="005D05F3">
        <w:t xml:space="preserve">According to Posey </w:t>
      </w:r>
      <w:r w:rsidR="007D2ED0">
        <w:fldChar w:fldCharType="begin"/>
      </w:r>
      <w:r w:rsidR="00673781">
        <w:instrText xml:space="preserve"> ADDIN ZOTERO_ITEM CSL_CITATION {"citationID":"tMD6P8Zs","properties":{"formattedCitation":"[26]","plainCitation":"[26]","noteIndex":0},"citationItems":[{"id":2130,"uris":["http://zotero.org/users/1105362/items/BJ96SE3L"],"uri":["http://zotero.org/users/1105362/items/BJ96SE3L"],"itemData":{"id":2130,"type":"article-journal","title":"A preliminary report on diversified management of tropical forest by the Kayapo Indians of the Brazilian Amazon","container-title":"Advances in Economic Botany","page":"112–126","volume":"1","source":"Google Scholar","author":[{"family":"Posey","given":"Darrell A."}],"issued":{"date-parts":[["1984"]]}}}],"schema":"https://github.com/citation-style-language/schema/raw/master/csl-citation.json"} </w:instrText>
      </w:r>
      <w:r w:rsidR="007D2ED0">
        <w:fldChar w:fldCharType="separate"/>
      </w:r>
      <w:r w:rsidR="00673781">
        <w:rPr>
          <w:noProof/>
        </w:rPr>
        <w:t>[26]</w:t>
      </w:r>
      <w:r w:rsidR="007D2ED0">
        <w:fldChar w:fldCharType="end"/>
      </w:r>
      <w:r w:rsidR="005D05F3">
        <w:t>, “resource islands” are “</w:t>
      </w:r>
      <w:r w:rsidR="005D05F3" w:rsidRPr="005D05F3">
        <w:t>…areas in the primary forest where specific concentrations</w:t>
      </w:r>
      <w:r w:rsidR="005D05F3">
        <w:t xml:space="preserve"> </w:t>
      </w:r>
      <w:r w:rsidR="005D05F3" w:rsidRPr="005D05F3">
        <w:t>of useful plants or animals are found</w:t>
      </w:r>
      <w:r w:rsidR="005D05F3">
        <w:t xml:space="preserve">.” Through his work with the </w:t>
      </w:r>
      <w:proofErr w:type="spellStart"/>
      <w:r w:rsidR="005D05F3">
        <w:t>Kayapó</w:t>
      </w:r>
      <w:proofErr w:type="spellEnd"/>
      <w:r w:rsidR="005D05F3">
        <w:t xml:space="preserve"> of the Brazilian Amazon, Posey </w:t>
      </w:r>
      <w:r w:rsidR="00472F9B">
        <w:lastRenderedPageBreak/>
        <w:fldChar w:fldCharType="begin"/>
      </w:r>
      <w:r w:rsidR="00673781">
        <w:instrText xml:space="preserve"> ADDIN ZOTERO_ITEM CSL_CITATION {"citationID":"D0DgH97V","properties":{"formattedCitation":"[26]","plainCitation":"[26]","noteIndex":0},"citationItems":[{"id":2130,"uris":["http://zotero.org/users/1105362/items/BJ96SE3L"],"uri":["http://zotero.org/users/1105362/items/BJ96SE3L"],"itemData":{"id":2130,"type":"article-journal","title":"A preliminary report on diversified management of tropical forest by the Kayapo Indians of the Brazilian Amazon","container-title":"Advances in Economic Botany","page":"112–126","volume":"1","source":"Google Scholar","author":[{"family":"Posey","given":"Darrell A."}],"issued":{"date-parts":[["1984"]]}}}],"schema":"https://github.com/citation-style-language/schema/raw/master/csl-citation.json"} </w:instrText>
      </w:r>
      <w:r w:rsidR="00472F9B">
        <w:fldChar w:fldCharType="separate"/>
      </w:r>
      <w:r w:rsidR="00673781">
        <w:rPr>
          <w:noProof/>
        </w:rPr>
        <w:t>[26]</w:t>
      </w:r>
      <w:r w:rsidR="00472F9B">
        <w:fldChar w:fldCharType="end"/>
      </w:r>
      <w:r w:rsidR="005D05F3">
        <w:t xml:space="preserve"> provides several general examples of “resource islands”, including sources of palm hearts, </w:t>
      </w:r>
      <w:proofErr w:type="spellStart"/>
      <w:r w:rsidR="005D05F3">
        <w:t>palmito</w:t>
      </w:r>
      <w:proofErr w:type="spellEnd"/>
      <w:r w:rsidR="005D05F3">
        <w:t xml:space="preserve"> and palm nut sources, areas with cane for arrows, hunting areas, and fish concentrations, among others. </w:t>
      </w:r>
      <w:r w:rsidR="006F45B4">
        <w:t xml:space="preserve">Conceiving of mineral licks as “resource islands” distributed across the landscape </w:t>
      </w:r>
      <w:r w:rsidR="00DE4B28">
        <w:t xml:space="preserve">ultimately </w:t>
      </w:r>
      <w:r w:rsidR="006F45B4">
        <w:t xml:space="preserve">helps to highlight the importance of properly managing and conserving these </w:t>
      </w:r>
      <w:r w:rsidR="00C471E1">
        <w:t>ecologically, culturally, and economically significant</w:t>
      </w:r>
      <w:r w:rsidR="006F45B4">
        <w:t xml:space="preserve"> areas</w:t>
      </w:r>
      <w:r w:rsidR="006F70E3">
        <w:t xml:space="preserve"> in </w:t>
      </w:r>
      <w:proofErr w:type="spellStart"/>
      <w:r w:rsidR="006F70E3">
        <w:t>Maijuna</w:t>
      </w:r>
      <w:proofErr w:type="spellEnd"/>
      <w:r w:rsidR="006F70E3">
        <w:t xml:space="preserve"> lands</w:t>
      </w:r>
      <w:r w:rsidR="006F45B4">
        <w:t>.</w:t>
      </w:r>
    </w:p>
    <w:p w14:paraId="419D4E73" w14:textId="011C2FDA" w:rsidR="00B44A3C" w:rsidRDefault="00B44A3C" w:rsidP="00CE00E0">
      <w:pPr>
        <w:spacing w:line="480" w:lineRule="auto"/>
        <w:rPr>
          <w:u w:val="single"/>
        </w:rPr>
      </w:pPr>
    </w:p>
    <w:p w14:paraId="75FF83F4" w14:textId="404FD11B" w:rsidR="0062243F" w:rsidRDefault="00EE7342" w:rsidP="00CE00E0">
      <w:pPr>
        <w:spacing w:line="480" w:lineRule="auto"/>
        <w:rPr>
          <w:u w:val="single"/>
        </w:rPr>
      </w:pPr>
      <w:r>
        <w:rPr>
          <w:u w:val="single"/>
        </w:rPr>
        <w:t>Mapping and n</w:t>
      </w:r>
      <w:r w:rsidR="0062243F">
        <w:rPr>
          <w:u w:val="single"/>
        </w:rPr>
        <w:t>aming of mineral licks</w:t>
      </w:r>
    </w:p>
    <w:p w14:paraId="5C39EE5B" w14:textId="442EF2D4" w:rsidR="0062243F" w:rsidRPr="001A2B8F" w:rsidRDefault="0062243F" w:rsidP="00CE00E0">
      <w:pPr>
        <w:spacing w:line="480" w:lineRule="auto"/>
      </w:pPr>
    </w:p>
    <w:p w14:paraId="76556416" w14:textId="250CB0A4" w:rsidR="00957153" w:rsidRDefault="00AA7448" w:rsidP="00CE00E0">
      <w:pPr>
        <w:spacing w:line="480" w:lineRule="auto"/>
        <w:ind w:firstLine="720"/>
      </w:pPr>
      <w:r>
        <w:t xml:space="preserve">A </w:t>
      </w:r>
      <w:r w:rsidR="00EE7342">
        <w:t xml:space="preserve">separate </w:t>
      </w:r>
      <w:r>
        <w:t xml:space="preserve">participatory mapping project carried out with the </w:t>
      </w:r>
      <w:proofErr w:type="spellStart"/>
      <w:r>
        <w:t>Maijuna</w:t>
      </w:r>
      <w:proofErr w:type="spellEnd"/>
      <w:r>
        <w:t xml:space="preserve"> </w:t>
      </w:r>
      <w:r w:rsidR="00F94B27">
        <w:t xml:space="preserve">between 2004-2009 </w:t>
      </w:r>
      <w:r>
        <w:t xml:space="preserve">(see </w:t>
      </w:r>
      <w:r w:rsidR="00344B41">
        <w:fldChar w:fldCharType="begin"/>
      </w:r>
      <w:r w:rsidR="00FD52E5">
        <w:instrText xml:space="preserve"> ADDIN ZOTERO_ITEM CSL_CITATION {"citationID":"CGoY7N4p","properties":{"formattedCitation":"[20]","plainCitation":"[20]","noteIndex":0},"citationItems":[{"id":2109,"uris":["http://zotero.org/users/1105362/items/6G2PKDHP"],"uri":["http://zotero.org/users/1105362/items/6G2PKDHP"],"itemData":{"id":2109,"type":"article-journal","title":"The Maijuna participatory mapping project: mapping the past and the present for the future","container-title":"Perú: Maijuna, Rapid biological and social inventories Report","page":"233–242","volume":"22","source":"Google Scholar","title-short":"The Maijuna participatory mapping project","author":[{"family":"Gilmore","given":"Michael P."},{"family":"Young","given":"Jason C."}],"issued":{"date-parts":[["2010"]]}}}],"schema":"https://github.com/citation-style-language/schema/raw/master/csl-citation.json"} </w:instrText>
      </w:r>
      <w:r w:rsidR="00344B41">
        <w:fldChar w:fldCharType="separate"/>
      </w:r>
      <w:r w:rsidR="00FD52E5">
        <w:rPr>
          <w:noProof/>
        </w:rPr>
        <w:t>[20]</w:t>
      </w:r>
      <w:r w:rsidR="00344B41">
        <w:fldChar w:fldCharType="end"/>
      </w:r>
      <w:r w:rsidR="00344B41">
        <w:fldChar w:fldCharType="begin"/>
      </w:r>
      <w:r w:rsidR="00FD52E5">
        <w:instrText xml:space="preserve"> ADDIN ZOTERO_ITEM CSL_CITATION {"citationID":"g9Zi3jLO","properties":{"formattedCitation":"[21]","plainCitation":"[21]","noteIndex":0},"citationItems":[{"id":110,"uris":["http://zotero.org/users/1105362/items/KI5TDAHC"],"uri":["http://zotero.org/users/1105362/items/KI5TDAHC"],"itemData":{"id":110,"type":"article-journal","title":"The Use of Participatory Mapping in Ethnobiological Research, Biocultural Conservation, and Community Empowerment: A Case Study From the Peruvian Amazon","container-title":"Journal of Ethnobiology","page":"6-29","volume":"32","issue":"1","source":"BioOne","DOI":"10.2993/0278-0771-32.1.6","ISSN":"0278-0771","title-short":"The Use of Participatory Mapping in Ethnobiological Research, Biocultural Conservation, and Community Empowerment","journalAbbreviation":"Journal of Ethnobiology","author":[{"family":"Gilmore","given":"Michael P."},{"family":"Young","given":"Jason C."}],"issued":{"date-parts":[["2012",7,1]]}}}],"schema":"https://github.com/citation-style-language/schema/raw/master/csl-citation.json"} </w:instrText>
      </w:r>
      <w:r w:rsidR="00344B41">
        <w:fldChar w:fldCharType="separate"/>
      </w:r>
      <w:r w:rsidR="00FD52E5">
        <w:rPr>
          <w:noProof/>
        </w:rPr>
        <w:t>[21]</w:t>
      </w:r>
      <w:r w:rsidR="00344B41">
        <w:fldChar w:fldCharType="end"/>
      </w:r>
      <w:r w:rsidR="00344B41">
        <w:fldChar w:fldCharType="begin"/>
      </w:r>
      <w:r w:rsidR="00673781">
        <w:instrText xml:space="preserve"> ADDIN ZOTERO_ITEM CSL_CITATION {"citationID":"mHlyP7lJ","properties":{"formattedCitation":"[27]","plainCitation":"[27]","noteIndex":0},"citationItems":[{"id":2132,"uris":["http://zotero.org/users/1105362/items/K86YN4YZ"],"uri":["http://zotero.org/users/1105362/items/K86YN4YZ"],"itemData":{"id":2132,"type":"article-journal","title":"The spatial politics of affect and emotion in participatory GIS","container-title":"Annals of the Association of American Geographers","page":"808–823","volume":"103","issue":"4","source":"Google Scholar","author":[{"family":"Young","given":"Jason C."},{"family":"Gilmore","given":"Michael P."}],"issued":{"date-parts":[["2013"]]}}}],"schema":"https://github.com/citation-style-language/schema/raw/master/csl-citation.json"} </w:instrText>
      </w:r>
      <w:r w:rsidR="00344B41">
        <w:fldChar w:fldCharType="separate"/>
      </w:r>
      <w:r w:rsidR="00673781">
        <w:rPr>
          <w:noProof/>
        </w:rPr>
        <w:t>[27]</w:t>
      </w:r>
      <w:r w:rsidR="00344B41">
        <w:fldChar w:fldCharType="end"/>
      </w:r>
      <w:r w:rsidR="00344B41">
        <w:fldChar w:fldCharType="begin"/>
      </w:r>
      <w:r w:rsidR="00673781">
        <w:instrText xml:space="preserve"> ADDIN ZOTERO_ITEM CSL_CITATION {"citationID":"I7UKJIKa","properties":{"formattedCitation":"[28]","plainCitation":"[28]","noteIndex":0},"citationItems":[{"id":2135,"uris":["http://zotero.org/users/1105362/items/XLBN2P95"],"uri":["http://zotero.org/users/1105362/items/XLBN2P95"],"itemData":{"id":2135,"type":"article-journal","title":"Subaltern empowerment in the Geoweb: Tensions between publicity and privacy","container-title":"Antipode","page":"574–591","volume":"46","issue":"2","source":"Google Scholar","title-short":"Subaltern empowerment in the Geoweb","author":[{"family":"Young","given":"Jason C."},{"family":"Gilmore","given":"Michael P."}],"issued":{"date-parts":[["2014"]]}}}],"schema":"https://github.com/citation-style-language/schema/raw/master/csl-citation.json"} </w:instrText>
      </w:r>
      <w:r w:rsidR="00344B41">
        <w:fldChar w:fldCharType="separate"/>
      </w:r>
      <w:r w:rsidR="00673781">
        <w:rPr>
          <w:noProof/>
        </w:rPr>
        <w:t>[28]</w:t>
      </w:r>
      <w:r w:rsidR="00344B41">
        <w:fldChar w:fldCharType="end"/>
      </w:r>
      <w:r w:rsidR="00344B41">
        <w:fldChar w:fldCharType="begin"/>
      </w:r>
      <w:r w:rsidR="00673781">
        <w:instrText xml:space="preserve"> ADDIN ZOTERO_ITEM CSL_CITATION {"citationID":"PzCA3QcU","properties":{"formattedCitation":"[29]","plainCitation":"[29]","noteIndex":0},"citationItems":[{"id":2137,"uris":["http://zotero.org/users/1105362/items/JKGPECIU"],"uri":["http://zotero.org/users/1105362/items/JKGPECIU"],"itemData":{"id":2137,"type":"article-journal","title":"participatory uses of geospatial technologies to leverage multiple knowledge systems within development contexts: A case study from the peruvian amazon","container-title":"World Development","page":"389–401","volume":"93","source":"Google Scholar","title-short":"participatory uses of geospatial technologies to leverage multiple knowledge systems within development contexts","author":[{"family":"Young","given":"Jason"},{"family":"Gilmore","given":"Michael"}],"issued":{"date-parts":[["2017"]]}}}],"schema":"https://github.com/citation-style-language/schema/raw/master/csl-citation.json"} </w:instrText>
      </w:r>
      <w:r w:rsidR="00344B41">
        <w:fldChar w:fldCharType="separate"/>
      </w:r>
      <w:r w:rsidR="00673781">
        <w:rPr>
          <w:noProof/>
        </w:rPr>
        <w:t>[29]</w:t>
      </w:r>
      <w:r w:rsidR="00344B41">
        <w:fldChar w:fldCharType="end"/>
      </w:r>
      <w:r>
        <w:t xml:space="preserve">) </w:t>
      </w:r>
      <w:r w:rsidR="008946E8">
        <w:t xml:space="preserve">further </w:t>
      </w:r>
      <w:r>
        <w:t xml:space="preserve">highlights the cultural significance of mineral licks. During mapping sessions in all four communities, mineral licks were consistently one of the first </w:t>
      </w:r>
      <w:proofErr w:type="spellStart"/>
      <w:r w:rsidR="00674741">
        <w:t>bioculturally</w:t>
      </w:r>
      <w:proofErr w:type="spellEnd"/>
      <w:r w:rsidR="00674741">
        <w:t xml:space="preserve"> significant sites</w:t>
      </w:r>
      <w:r>
        <w:t xml:space="preserve"> that participants mapped highlighting the cultural salience and importance of these areas. </w:t>
      </w:r>
      <w:r w:rsidR="00656BB9">
        <w:t xml:space="preserve">In the </w:t>
      </w:r>
      <w:proofErr w:type="spellStart"/>
      <w:r w:rsidR="00656BB9">
        <w:t>Sucusari</w:t>
      </w:r>
      <w:proofErr w:type="spellEnd"/>
      <w:r w:rsidR="00F94B27">
        <w:t xml:space="preserve"> community</w:t>
      </w:r>
      <w:r w:rsidR="00656BB9">
        <w:t xml:space="preserve">, </w:t>
      </w:r>
      <w:r w:rsidR="00EE7342">
        <w:t xml:space="preserve">after </w:t>
      </w:r>
      <w:r w:rsidR="00CB60C6">
        <w:t xml:space="preserve">discussing </w:t>
      </w:r>
      <w:r w:rsidR="00EE7342">
        <w:t>and comparing different ideas</w:t>
      </w:r>
      <w:r w:rsidR="00660DFC">
        <w:t xml:space="preserve"> </w:t>
      </w:r>
      <w:r w:rsidR="00FE2766">
        <w:fldChar w:fldCharType="begin"/>
      </w:r>
      <w:r w:rsidR="00673781">
        <w:instrText xml:space="preserve"> ADDIN ZOTERO_ITEM CSL_CITATION {"citationID":"JBeF8LnT","properties":{"formattedCitation":"[27]","plainCitation":"[27]","noteIndex":0},"citationItems":[{"id":2132,"uris":["http://zotero.org/users/1105362/items/K86YN4YZ"],"uri":["http://zotero.org/users/1105362/items/K86YN4YZ"],"itemData":{"id":2132,"type":"article-journal","title":"The spatial politics of affect and emotion in participatory GIS","container-title":"Annals of the Association of American Geographers","page":"808–823","volume":"103","issue":"4","source":"Google Scholar","author":[{"family":"Young","given":"Jason C."},{"family":"Gilmore","given":"Michael P."}],"issued":{"date-parts":[["2013"]]}}}],"schema":"https://github.com/citation-style-language/schema/raw/master/csl-citation.json"} </w:instrText>
      </w:r>
      <w:r w:rsidR="00FE2766">
        <w:fldChar w:fldCharType="separate"/>
      </w:r>
      <w:r w:rsidR="00673781">
        <w:rPr>
          <w:noProof/>
        </w:rPr>
        <w:t>[27]</w:t>
      </w:r>
      <w:r w:rsidR="00FE2766">
        <w:fldChar w:fldCharType="end"/>
      </w:r>
      <w:r w:rsidR="00EE7342">
        <w:t xml:space="preserve">, </w:t>
      </w:r>
      <w:r w:rsidR="00F94B27">
        <w:t xml:space="preserve">mapping </w:t>
      </w:r>
      <w:r w:rsidR="00EE7342">
        <w:t xml:space="preserve">participants selected the symbol of a tapir to represent the locations of mineral licks throughout the river basin </w:t>
      </w:r>
      <w:r w:rsidR="00DC5E73">
        <w:t>on</w:t>
      </w:r>
      <w:r w:rsidR="00D05A46">
        <w:t xml:space="preserve"> their hand-drawn map </w:t>
      </w:r>
      <w:r w:rsidR="00EE7342">
        <w:t xml:space="preserve">(Figure 3). </w:t>
      </w:r>
      <w:r w:rsidR="00F94B27">
        <w:t>According to participants, the tapir was chosen as the symbol</w:t>
      </w:r>
      <w:r w:rsidR="005604DC">
        <w:t xml:space="preserve"> for mineral licks</w:t>
      </w:r>
      <w:r w:rsidR="00F94B27">
        <w:t xml:space="preserve"> given that it is one of the most culturally important </w:t>
      </w:r>
      <w:r w:rsidR="00F34D2B">
        <w:t xml:space="preserve">game </w:t>
      </w:r>
      <w:r w:rsidR="00F94B27">
        <w:t xml:space="preserve">species that visits mineral licks as well as its key role </w:t>
      </w:r>
      <w:r w:rsidR="007D1EB4">
        <w:t xml:space="preserve">in a traditional story </w:t>
      </w:r>
      <w:r w:rsidR="00646770">
        <w:t>detailing</w:t>
      </w:r>
      <w:r w:rsidR="007D1EB4">
        <w:t xml:space="preserve"> the creation of the first lick</w:t>
      </w:r>
      <w:r w:rsidR="0051199B">
        <w:t xml:space="preserve"> (see below).</w:t>
      </w:r>
      <w:r w:rsidR="007909CA">
        <w:t xml:space="preserve"> </w:t>
      </w:r>
    </w:p>
    <w:p w14:paraId="3123968B" w14:textId="048A3CD2" w:rsidR="003E51C9" w:rsidRPr="003E51C9" w:rsidRDefault="00893028" w:rsidP="00CE00E0">
      <w:pPr>
        <w:spacing w:line="480" w:lineRule="auto"/>
        <w:ind w:firstLine="720"/>
      </w:pPr>
      <w:r>
        <w:t xml:space="preserve">Out of the 84 mineral licks that were ultimately identified in the </w:t>
      </w:r>
      <w:proofErr w:type="spellStart"/>
      <w:r>
        <w:t>Sucusari</w:t>
      </w:r>
      <w:proofErr w:type="spellEnd"/>
      <w:r>
        <w:t xml:space="preserve"> River basin during this study, 21 have proper names in the </w:t>
      </w:r>
      <w:proofErr w:type="spellStart"/>
      <w:r>
        <w:t>Maijuna</w:t>
      </w:r>
      <w:proofErr w:type="spellEnd"/>
      <w:r>
        <w:t xml:space="preserve"> language. </w:t>
      </w:r>
      <w:r w:rsidR="008E784B" w:rsidRPr="003E51C9">
        <w:t xml:space="preserve">The </w:t>
      </w:r>
      <w:proofErr w:type="spellStart"/>
      <w:r w:rsidR="008E784B" w:rsidRPr="003E51C9">
        <w:t>Maijuna</w:t>
      </w:r>
      <w:proofErr w:type="spellEnd"/>
      <w:r w:rsidR="008E784B" w:rsidRPr="003E51C9">
        <w:t xml:space="preserve"> name mineral licks after</w:t>
      </w:r>
      <w:r w:rsidR="008E784B">
        <w:t>:</w:t>
      </w:r>
      <w:r w:rsidR="008E784B" w:rsidRPr="003E51C9">
        <w:t xml:space="preserve"> plants</w:t>
      </w:r>
      <w:r w:rsidR="008E784B">
        <w:t xml:space="preserve"> found in or around the area</w:t>
      </w:r>
      <w:r w:rsidR="001311DF">
        <w:t>;</w:t>
      </w:r>
      <w:r w:rsidR="008E784B" w:rsidRPr="003E51C9">
        <w:t xml:space="preserve"> </w:t>
      </w:r>
      <w:r w:rsidR="008E784B">
        <w:t>individuals who hunted there;</w:t>
      </w:r>
      <w:r w:rsidR="008E784B" w:rsidRPr="003E51C9">
        <w:t xml:space="preserve"> </w:t>
      </w:r>
      <w:r w:rsidR="008E784B">
        <w:t xml:space="preserve">birds or bats </w:t>
      </w:r>
      <w:r w:rsidR="000C0A24">
        <w:t>that</w:t>
      </w:r>
      <w:r w:rsidR="008E784B">
        <w:t xml:space="preserve"> frequent the lick; </w:t>
      </w:r>
      <w:r w:rsidR="000C0A24">
        <w:t xml:space="preserve">general </w:t>
      </w:r>
      <w:r w:rsidR="008E784B">
        <w:t xml:space="preserve">vegetative characteristics; soil type; biting ants present; and the </w:t>
      </w:r>
      <w:r w:rsidR="008E784B" w:rsidRPr="003E51C9">
        <w:t xml:space="preserve">size of </w:t>
      </w:r>
      <w:r w:rsidR="008E784B" w:rsidRPr="003E51C9">
        <w:lastRenderedPageBreak/>
        <w:t xml:space="preserve">the area. The extensive naming of mineral licks further highlights their significance to the </w:t>
      </w:r>
      <w:proofErr w:type="spellStart"/>
      <w:r w:rsidR="008E784B" w:rsidRPr="003E51C9">
        <w:t>Maijuna</w:t>
      </w:r>
      <w:proofErr w:type="spellEnd"/>
      <w:r w:rsidR="000C0A24">
        <w:t xml:space="preserve"> </w:t>
      </w:r>
      <w:r w:rsidR="00627AA9">
        <w:fldChar w:fldCharType="begin"/>
      </w:r>
      <w:r w:rsidR="00FD52E5">
        <w:instrText xml:space="preserve"> ADDIN ZOTERO_ITEM CSL_CITATION {"citationID":"tTfIQmYp","properties":{"formattedCitation":"[16]","plainCitation":"[16]","noteIndex":0},"citationItems":[{"id":2115,"uris":["http://zotero.org/users/1105362/items/JVU47FAQ"],"uri":["http://zotero.org/users/1105362/items/JVU47FAQ"],"itemData":{"id":2115,"type":"thesis","title":"An ethnoecological and ethnobotanical study of the Maijuna Indians of the Peruvian Amazon","publisher":"Miami University","genre":"PhD Thesis","source":"Google Scholar","author":[{"family":"Gilmore","given":"Michael Patrick"}],"issued":{"date-parts":[["2005"]]}}}],"schema":"https://github.com/citation-style-language/schema/raw/master/csl-citation.json"} </w:instrText>
      </w:r>
      <w:r w:rsidR="00627AA9">
        <w:fldChar w:fldCharType="separate"/>
      </w:r>
      <w:r w:rsidR="00FD52E5">
        <w:rPr>
          <w:noProof/>
        </w:rPr>
        <w:t>[16]</w:t>
      </w:r>
      <w:r w:rsidR="00627AA9">
        <w:fldChar w:fldCharType="end"/>
      </w:r>
      <w:r w:rsidR="00627AA9">
        <w:fldChar w:fldCharType="begin"/>
      </w:r>
      <w:r w:rsidR="00FD52E5">
        <w:instrText xml:space="preserve"> ADDIN ZOTERO_ITEM CSL_CITATION {"citationID":"XXl1LZru","properties":{"formattedCitation":"[20]","plainCitation":"[20]","noteIndex":0},"citationItems":[{"id":2109,"uris":["http://zotero.org/users/1105362/items/6G2PKDHP"],"uri":["http://zotero.org/users/1105362/items/6G2PKDHP"],"itemData":{"id":2109,"type":"article-journal","title":"The Maijuna participatory mapping project: mapping the past and the present for the future","container-title":"Perú: Maijuna, Rapid biological and social inventories Report","page":"233–242","volume":"22","source":"Google Scholar","title-short":"The Maijuna participatory mapping project","author":[{"family":"Gilmore","given":"Michael P."},{"family":"Young","given":"Jason C."}],"issued":{"date-parts":[["2010"]]}}}],"schema":"https://github.com/citation-style-language/schema/raw/master/csl-citation.json"} </w:instrText>
      </w:r>
      <w:r w:rsidR="00627AA9">
        <w:fldChar w:fldCharType="separate"/>
      </w:r>
      <w:r w:rsidR="00FD52E5">
        <w:rPr>
          <w:noProof/>
        </w:rPr>
        <w:t>[20]</w:t>
      </w:r>
      <w:r w:rsidR="00627AA9">
        <w:fldChar w:fldCharType="end"/>
      </w:r>
      <w:r w:rsidR="00627AA9">
        <w:fldChar w:fldCharType="begin"/>
      </w:r>
      <w:r w:rsidR="00FD52E5">
        <w:instrText xml:space="preserve"> ADDIN ZOTERO_ITEM CSL_CITATION {"citationID":"09r1uDlt","properties":{"formattedCitation":"[21]","plainCitation":"[21]","noteIndex":0},"citationItems":[{"id":110,"uris":["http://zotero.org/users/1105362/items/KI5TDAHC"],"uri":["http://zotero.org/users/1105362/items/KI5TDAHC"],"itemData":{"id":110,"type":"article-journal","title":"The Use of Participatory Mapping in Ethnobiological Research, Biocultural Conservation, and Community Empowerment: A Case Study From the Peruvian Amazon","container-title":"Journal of Ethnobiology","page":"6-29","volume":"32","issue":"1","source":"BioOne","DOI":"10.2993/0278-0771-32.1.6","ISSN":"0278-0771","title-short":"The Use of Participatory Mapping in Ethnobiological Research, Biocultural Conservation, and Community Empowerment","journalAbbreviation":"Journal of Ethnobiology","author":[{"family":"Gilmore","given":"Michael P."},{"family":"Young","given":"Jason C."}],"issued":{"date-parts":[["2012",7,1]]}}}],"schema":"https://github.com/citation-style-language/schema/raw/master/csl-citation.json"} </w:instrText>
      </w:r>
      <w:r w:rsidR="00627AA9">
        <w:fldChar w:fldCharType="separate"/>
      </w:r>
      <w:r w:rsidR="00FD52E5">
        <w:rPr>
          <w:noProof/>
        </w:rPr>
        <w:t>[21]</w:t>
      </w:r>
      <w:r w:rsidR="00627AA9">
        <w:fldChar w:fldCharType="end"/>
      </w:r>
      <w:r w:rsidR="00627AA9">
        <w:fldChar w:fldCharType="begin"/>
      </w:r>
      <w:r w:rsidR="00673781">
        <w:instrText xml:space="preserve"> ADDIN ZOTERO_ITEM CSL_CITATION {"citationID":"Z09xAiIM","properties":{"formattedCitation":"[30]","plainCitation":"[30]","noteIndex":0},"citationItems":[{"id":2141,"uris":["http://zotero.org/users/1105362/items/IBCDBSZN"],"uri":["http://zotero.org/users/1105362/items/IBCDBSZN"],"itemData":{"id":2141,"type":"article-journal","title":"The socio-cultural importance of Mauritia flexuosa palm swamps (aguajales) and implications for multi-use management in two Maijuna communities of the Peruvian Amazon","container-title":"Journal of Ethnobiology and Ethnomedicine","page":"29","volume":"9","issue":"1","source":"Google Scholar","author":[{"family":"Gilmore","given":"Michael P."},{"family":"Endress","given":"Bryan A."},{"family":"Horn","given":"Christa M."}],"issued":{"date-parts":[["2013"]]}}}],"schema":"https://github.com/citation-style-language/schema/raw/master/csl-citation.json"} </w:instrText>
      </w:r>
      <w:r w:rsidR="00627AA9">
        <w:fldChar w:fldCharType="separate"/>
      </w:r>
      <w:r w:rsidR="00673781">
        <w:rPr>
          <w:noProof/>
        </w:rPr>
        <w:t>[30]</w:t>
      </w:r>
      <w:r w:rsidR="00627AA9">
        <w:fldChar w:fldCharType="end"/>
      </w:r>
      <w:r w:rsidR="008B290A">
        <w:t>.</w:t>
      </w:r>
    </w:p>
    <w:p w14:paraId="49EF8C71" w14:textId="5CAFEB6F" w:rsidR="001E7EBD" w:rsidRDefault="001E7EBD" w:rsidP="00CE00E0">
      <w:pPr>
        <w:spacing w:line="480" w:lineRule="auto"/>
      </w:pPr>
    </w:p>
    <w:p w14:paraId="104DD9A5" w14:textId="15CB5518" w:rsidR="00556D34" w:rsidRDefault="00980E4B" w:rsidP="00CE00E0">
      <w:pPr>
        <w:spacing w:line="480" w:lineRule="auto"/>
        <w:rPr>
          <w:u w:val="single"/>
        </w:rPr>
      </w:pPr>
      <w:r w:rsidRPr="00097283">
        <w:rPr>
          <w:u w:val="single"/>
        </w:rPr>
        <w:t>Traditional beliefs</w:t>
      </w:r>
      <w:r w:rsidR="0062243F">
        <w:rPr>
          <w:u w:val="single"/>
        </w:rPr>
        <w:t xml:space="preserve"> about mineral licks</w:t>
      </w:r>
    </w:p>
    <w:p w14:paraId="1F42D195" w14:textId="16D1AFA0" w:rsidR="00556D34" w:rsidRPr="00174862" w:rsidRDefault="00556D34" w:rsidP="00CE00E0">
      <w:pPr>
        <w:spacing w:line="480" w:lineRule="auto"/>
      </w:pPr>
    </w:p>
    <w:p w14:paraId="37E0665D" w14:textId="78E6736B" w:rsidR="007969CB" w:rsidRPr="00174862" w:rsidRDefault="00133034" w:rsidP="00CE00E0">
      <w:pPr>
        <w:spacing w:line="480" w:lineRule="auto"/>
        <w:ind w:firstLine="720"/>
      </w:pPr>
      <w:r>
        <w:t xml:space="preserve">The </w:t>
      </w:r>
      <w:proofErr w:type="spellStart"/>
      <w:r>
        <w:t>Maijuna</w:t>
      </w:r>
      <w:proofErr w:type="spellEnd"/>
      <w:r>
        <w:t xml:space="preserve"> have</w:t>
      </w:r>
      <w:r w:rsidR="00174862" w:rsidRPr="00174862">
        <w:t xml:space="preserve"> a </w:t>
      </w:r>
      <w:r>
        <w:t xml:space="preserve">very </w:t>
      </w:r>
      <w:r w:rsidR="00174862" w:rsidRPr="00174862">
        <w:t xml:space="preserve">different explanation for why animals </w:t>
      </w:r>
      <w:r w:rsidR="00443E30">
        <w:t>visit mineral licks</w:t>
      </w:r>
      <w:r w:rsidR="00347DFE">
        <w:t xml:space="preserve"> </w:t>
      </w:r>
      <w:r w:rsidR="00E3631D">
        <w:fldChar w:fldCharType="begin"/>
      </w:r>
      <w:r w:rsidR="00673781">
        <w:instrText xml:space="preserve"> ADDIN ZOTERO_ITEM CSL_CITATION {"citationID":"YWAYzwvb","properties":{"formattedCitation":"[31]","plainCitation":"[31]","noteIndex":0},"citationItems":[{"id":2145,"uris":["http://zotero.org/users/1105362/items/EQDHUJ7T"],"uri":["http://zotero.org/users/1105362/items/EQDHUJ7T"],"itemData":{"id":2145,"type":"article-journal","title":"Three Days of Masato","container-title":"ISLE: Interdisciplinary Studies in Literature and Environment","source":"Google Scholar","author":[{"family":"Wingfield","given":"Andrew"},{"family":"Gilmore","given":"Michael P."}],"issued":{"date-parts":[["2019"]]}}}],"schema":"https://github.com/citation-style-language/schema/raw/master/csl-citation.json"} </w:instrText>
      </w:r>
      <w:r w:rsidR="00E3631D">
        <w:fldChar w:fldCharType="separate"/>
      </w:r>
      <w:r w:rsidR="00673781">
        <w:rPr>
          <w:noProof/>
        </w:rPr>
        <w:t>[31]</w:t>
      </w:r>
      <w:r w:rsidR="00E3631D">
        <w:fldChar w:fldCharType="end"/>
      </w:r>
      <w:r w:rsidR="00443E30">
        <w:t>.</w:t>
      </w:r>
      <w:r w:rsidR="00347DFE">
        <w:t xml:space="preserve"> According to the traditional </w:t>
      </w:r>
      <w:proofErr w:type="spellStart"/>
      <w:r w:rsidR="00347DFE">
        <w:t>Maijuna</w:t>
      </w:r>
      <w:proofErr w:type="spellEnd"/>
      <w:r w:rsidR="00347DFE">
        <w:t xml:space="preserve"> story of the creation of the first tapir, a man named </w:t>
      </w:r>
      <w:proofErr w:type="spellStart"/>
      <w:r w:rsidR="00C36E39">
        <w:rPr>
          <w:b/>
          <w:bCs/>
          <w:i/>
          <w:iCs/>
        </w:rPr>
        <w:t>Bék</w:t>
      </w:r>
      <w:r w:rsidR="00C36E39" w:rsidRPr="0005259E">
        <w:rPr>
          <w:b/>
          <w:bCs/>
          <w:i/>
          <w:iCs/>
          <w:strike/>
        </w:rPr>
        <w:t>í</w:t>
      </w:r>
      <w:r w:rsidR="00C36E39">
        <w:rPr>
          <w:b/>
          <w:bCs/>
          <w:i/>
          <w:iCs/>
        </w:rPr>
        <w:t>tù</w:t>
      </w:r>
      <w:proofErr w:type="spellEnd"/>
      <w:r w:rsidR="00C36E39">
        <w:t xml:space="preserve"> </w:t>
      </w:r>
      <w:r w:rsidR="00347DFE">
        <w:t xml:space="preserve">was seeking revenge on his son-in-law. He </w:t>
      </w:r>
      <w:r w:rsidR="00817EB7">
        <w:t>tried to trick</w:t>
      </w:r>
      <w:r w:rsidR="00347DFE">
        <w:t xml:space="preserve"> </w:t>
      </w:r>
      <w:r w:rsidR="00AA098A">
        <w:t>him</w:t>
      </w:r>
      <w:r w:rsidR="00817EB7">
        <w:t xml:space="preserve"> three </w:t>
      </w:r>
      <w:r w:rsidR="001715E3">
        <w:t>times,</w:t>
      </w:r>
      <w:r w:rsidR="00817EB7">
        <w:t xml:space="preserve"> yet his son-in-law </w:t>
      </w:r>
      <w:r w:rsidR="00AA098A">
        <w:t xml:space="preserve">outsmarted </w:t>
      </w:r>
      <w:r w:rsidR="001715E3">
        <w:t xml:space="preserve">him </w:t>
      </w:r>
      <w:r w:rsidR="00AA098A">
        <w:t xml:space="preserve">each time. </w:t>
      </w:r>
      <w:r w:rsidR="001715E3">
        <w:t xml:space="preserve">After the third time, the son-in-law used his powers as a creator to turn </w:t>
      </w:r>
      <w:proofErr w:type="spellStart"/>
      <w:r w:rsidR="00612B66">
        <w:rPr>
          <w:b/>
          <w:bCs/>
          <w:i/>
          <w:iCs/>
        </w:rPr>
        <w:t>Bék</w:t>
      </w:r>
      <w:r w:rsidR="00612B66" w:rsidRPr="00C43B3D">
        <w:rPr>
          <w:b/>
          <w:bCs/>
          <w:i/>
          <w:iCs/>
          <w:strike/>
        </w:rPr>
        <w:t>í</w:t>
      </w:r>
      <w:r w:rsidR="00612B66">
        <w:rPr>
          <w:b/>
          <w:bCs/>
          <w:i/>
          <w:iCs/>
        </w:rPr>
        <w:t>tù</w:t>
      </w:r>
      <w:proofErr w:type="spellEnd"/>
      <w:r w:rsidR="00612B66">
        <w:t xml:space="preserve"> </w:t>
      </w:r>
      <w:r w:rsidR="001715E3">
        <w:t xml:space="preserve">into </w:t>
      </w:r>
      <w:r w:rsidR="003130AC">
        <w:t>a</w:t>
      </w:r>
      <w:r w:rsidR="001715E3">
        <w:t xml:space="preserve"> tapir. During this slow transformation, </w:t>
      </w:r>
      <w:proofErr w:type="spellStart"/>
      <w:r w:rsidR="00612B66">
        <w:rPr>
          <w:b/>
          <w:bCs/>
          <w:i/>
          <w:iCs/>
        </w:rPr>
        <w:t>Bék</w:t>
      </w:r>
      <w:r w:rsidR="00612B66" w:rsidRPr="00C43B3D">
        <w:rPr>
          <w:b/>
          <w:bCs/>
          <w:i/>
          <w:iCs/>
          <w:strike/>
        </w:rPr>
        <w:t>í</w:t>
      </w:r>
      <w:r w:rsidR="00612B66">
        <w:rPr>
          <w:b/>
          <w:bCs/>
          <w:i/>
          <w:iCs/>
        </w:rPr>
        <w:t>tù</w:t>
      </w:r>
      <w:proofErr w:type="spellEnd"/>
      <w:r w:rsidR="00612B66">
        <w:t xml:space="preserve"> </w:t>
      </w:r>
      <w:r w:rsidR="001715E3">
        <w:t>began to take on more and more qualities of tapir</w:t>
      </w:r>
      <w:r w:rsidR="004504E0">
        <w:t>s</w:t>
      </w:r>
      <w:r w:rsidR="001715E3">
        <w:t xml:space="preserve">; he increased in size, made similar noises, began to eat </w:t>
      </w:r>
      <w:r w:rsidR="001715E3" w:rsidRPr="001715E3">
        <w:rPr>
          <w:i/>
          <w:iCs/>
        </w:rPr>
        <w:t xml:space="preserve">Mauritia </w:t>
      </w:r>
      <w:proofErr w:type="spellStart"/>
      <w:r w:rsidR="001715E3" w:rsidRPr="001715E3">
        <w:rPr>
          <w:i/>
          <w:iCs/>
        </w:rPr>
        <w:t>flexuosa</w:t>
      </w:r>
      <w:proofErr w:type="spellEnd"/>
      <w:r w:rsidR="001715E3" w:rsidRPr="001715E3">
        <w:t xml:space="preserve"> </w:t>
      </w:r>
      <w:r w:rsidR="001715E3">
        <w:t xml:space="preserve">fruits whole, and became skittish around people. </w:t>
      </w:r>
      <w:r w:rsidR="00500C38">
        <w:t xml:space="preserve">Toward the end of this transformation, </w:t>
      </w:r>
      <w:proofErr w:type="spellStart"/>
      <w:r w:rsidR="00612B66">
        <w:rPr>
          <w:b/>
          <w:bCs/>
          <w:i/>
          <w:iCs/>
        </w:rPr>
        <w:t>Bék</w:t>
      </w:r>
      <w:r w:rsidR="00612B66" w:rsidRPr="00C43B3D">
        <w:rPr>
          <w:b/>
          <w:bCs/>
          <w:i/>
          <w:iCs/>
          <w:strike/>
        </w:rPr>
        <w:t>í</w:t>
      </w:r>
      <w:r w:rsidR="00612B66">
        <w:rPr>
          <w:b/>
          <w:bCs/>
          <w:i/>
          <w:iCs/>
        </w:rPr>
        <w:t>tù</w:t>
      </w:r>
      <w:proofErr w:type="spellEnd"/>
      <w:r w:rsidR="00612B66">
        <w:t xml:space="preserve"> </w:t>
      </w:r>
      <w:r w:rsidR="00500C38">
        <w:t xml:space="preserve">asked his daughter, who was unaware of what was happening, to make </w:t>
      </w:r>
      <w:proofErr w:type="spellStart"/>
      <w:r w:rsidR="00500C38" w:rsidRPr="00500C38">
        <w:rPr>
          <w:i/>
          <w:iCs/>
        </w:rPr>
        <w:t>masato</w:t>
      </w:r>
      <w:proofErr w:type="spellEnd"/>
      <w:r w:rsidR="00500C38">
        <w:t xml:space="preserve"> (</w:t>
      </w:r>
      <w:r w:rsidR="00361F37">
        <w:t xml:space="preserve">a traditional alcoholic beverage made from </w:t>
      </w:r>
      <w:r w:rsidR="00500C38" w:rsidRPr="001C12F3">
        <w:rPr>
          <w:i/>
          <w:noProof/>
        </w:rPr>
        <w:t>Manihot esculenta</w:t>
      </w:r>
      <w:r w:rsidR="00500C38">
        <w:t xml:space="preserve">) and bring it to him in the forest. </w:t>
      </w:r>
      <w:r w:rsidR="003130AC">
        <w:t>When his daughter returned,</w:t>
      </w:r>
      <w:r w:rsidR="002C19EE">
        <w:t xml:space="preserve"> he grew increasingly skittish, </w:t>
      </w:r>
      <w:r w:rsidR="002C19EE" w:rsidRPr="00174862">
        <w:t>and eventually</w:t>
      </w:r>
      <w:r w:rsidR="002C19EE">
        <w:t xml:space="preserve"> </w:t>
      </w:r>
      <w:r w:rsidR="002C19EE" w:rsidRPr="00174862">
        <w:t xml:space="preserve">refused to come close when </w:t>
      </w:r>
      <w:r w:rsidR="00F65AE7">
        <w:t>she</w:t>
      </w:r>
      <w:r w:rsidR="002C19EE" w:rsidRPr="00174862">
        <w:t xml:space="preserve"> approached, despite her</w:t>
      </w:r>
      <w:r w:rsidR="002C19EE">
        <w:t xml:space="preserve"> </w:t>
      </w:r>
      <w:r w:rsidR="002C19EE" w:rsidRPr="00174862">
        <w:t>repeated assurances</w:t>
      </w:r>
      <w:r w:rsidR="002C19EE">
        <w:t xml:space="preserve">. </w:t>
      </w:r>
      <w:r w:rsidR="00174862" w:rsidRPr="00174862">
        <w:t xml:space="preserve">The exasperated daughter </w:t>
      </w:r>
      <w:r w:rsidR="00361F37">
        <w:t>threw</w:t>
      </w:r>
      <w:r w:rsidR="00174862" w:rsidRPr="00174862">
        <w:t xml:space="preserve"> her clay pot of</w:t>
      </w:r>
      <w:r w:rsidR="00347DFE">
        <w:t xml:space="preserve"> </w:t>
      </w:r>
      <w:proofErr w:type="spellStart"/>
      <w:r w:rsidR="00174862" w:rsidRPr="002C19EE">
        <w:rPr>
          <w:i/>
          <w:iCs/>
        </w:rPr>
        <w:t>masato</w:t>
      </w:r>
      <w:proofErr w:type="spellEnd"/>
      <w:r w:rsidR="00174862" w:rsidRPr="00174862">
        <w:t xml:space="preserve"> on the forest floor, where it shattered. </w:t>
      </w:r>
      <w:proofErr w:type="spellStart"/>
      <w:r w:rsidR="00612B66">
        <w:rPr>
          <w:b/>
          <w:bCs/>
          <w:i/>
          <w:iCs/>
        </w:rPr>
        <w:t>Bék</w:t>
      </w:r>
      <w:r w:rsidR="00612B66" w:rsidRPr="00C43B3D">
        <w:rPr>
          <w:b/>
          <w:bCs/>
          <w:i/>
          <w:iCs/>
          <w:strike/>
        </w:rPr>
        <w:t>í</w:t>
      </w:r>
      <w:r w:rsidR="00612B66">
        <w:rPr>
          <w:b/>
          <w:bCs/>
          <w:i/>
          <w:iCs/>
        </w:rPr>
        <w:t>tù</w:t>
      </w:r>
      <w:proofErr w:type="spellEnd"/>
      <w:r w:rsidR="00612B66">
        <w:t xml:space="preserve"> </w:t>
      </w:r>
      <w:r w:rsidR="00174862" w:rsidRPr="00174862">
        <w:t>later came and</w:t>
      </w:r>
      <w:r w:rsidR="00347DFE">
        <w:t xml:space="preserve"> </w:t>
      </w:r>
      <w:r w:rsidR="00174862" w:rsidRPr="00174862">
        <w:t xml:space="preserve">licked up the </w:t>
      </w:r>
      <w:proofErr w:type="spellStart"/>
      <w:r w:rsidR="00174862" w:rsidRPr="002C19EE">
        <w:rPr>
          <w:i/>
          <w:iCs/>
        </w:rPr>
        <w:t>masato</w:t>
      </w:r>
      <w:proofErr w:type="spellEnd"/>
      <w:r w:rsidR="00174862" w:rsidRPr="00174862">
        <w:t xml:space="preserve">, </w:t>
      </w:r>
      <w:r w:rsidR="00FD1FED">
        <w:t>using his</w:t>
      </w:r>
      <w:r w:rsidR="00174862" w:rsidRPr="00174862">
        <w:t xml:space="preserve"> hooves </w:t>
      </w:r>
      <w:r w:rsidR="00FD1FED">
        <w:t>to further mix</w:t>
      </w:r>
      <w:r w:rsidR="00773B4A">
        <w:t xml:space="preserve"> up the brew and </w:t>
      </w:r>
      <w:r w:rsidR="00FD1FED">
        <w:t xml:space="preserve">ultimately </w:t>
      </w:r>
      <w:r w:rsidR="00174862" w:rsidRPr="00174862">
        <w:t>soften the moist earth</w:t>
      </w:r>
      <w:r w:rsidR="00D44DBE">
        <w:t>;</w:t>
      </w:r>
      <w:r w:rsidR="00174862" w:rsidRPr="00174862">
        <w:t xml:space="preserve"> the very first</w:t>
      </w:r>
      <w:r w:rsidR="00347DFE">
        <w:t xml:space="preserve"> </w:t>
      </w:r>
      <w:r w:rsidR="00174862" w:rsidRPr="00174862">
        <w:t>tapir forming the very first mineral lick.</w:t>
      </w:r>
      <w:r w:rsidR="00347DFE">
        <w:t xml:space="preserve"> </w:t>
      </w:r>
      <w:r w:rsidR="00174862" w:rsidRPr="00174862">
        <w:t xml:space="preserve">In the </w:t>
      </w:r>
      <w:proofErr w:type="spellStart"/>
      <w:r w:rsidR="00174862" w:rsidRPr="00174862">
        <w:t>Maijuna</w:t>
      </w:r>
      <w:proofErr w:type="spellEnd"/>
      <w:r w:rsidR="00174862" w:rsidRPr="00174862">
        <w:t xml:space="preserve"> language, the word for </w:t>
      </w:r>
      <w:proofErr w:type="spellStart"/>
      <w:r w:rsidR="00174862" w:rsidRPr="002C19EE">
        <w:rPr>
          <w:i/>
          <w:iCs/>
        </w:rPr>
        <w:t>masato</w:t>
      </w:r>
      <w:proofErr w:type="spellEnd"/>
      <w:r w:rsidR="00174862" w:rsidRPr="00174862">
        <w:t xml:space="preserve"> is </w:t>
      </w:r>
      <w:proofErr w:type="spellStart"/>
      <w:r w:rsidR="00786114">
        <w:rPr>
          <w:b/>
          <w:bCs/>
          <w:i/>
          <w:iCs/>
        </w:rPr>
        <w:t>ónó</w:t>
      </w:r>
      <w:proofErr w:type="spellEnd"/>
      <w:r w:rsidR="00786114">
        <w:rPr>
          <w:b/>
          <w:bCs/>
          <w:i/>
          <w:iCs/>
        </w:rPr>
        <w:t xml:space="preserve"> </w:t>
      </w:r>
      <w:r w:rsidR="00174862" w:rsidRPr="00174862">
        <w:t>and the word</w:t>
      </w:r>
      <w:r w:rsidR="00347DFE">
        <w:t xml:space="preserve"> </w:t>
      </w:r>
      <w:r w:rsidR="00174862" w:rsidRPr="00174862">
        <w:t xml:space="preserve">for place is </w:t>
      </w:r>
      <w:proofErr w:type="spellStart"/>
      <w:r w:rsidR="00786114">
        <w:rPr>
          <w:b/>
          <w:bCs/>
          <w:i/>
          <w:iCs/>
        </w:rPr>
        <w:t>b</w:t>
      </w:r>
      <w:r w:rsidR="00786114">
        <w:rPr>
          <w:b/>
          <w:bCs/>
          <w:i/>
          <w:iCs/>
          <w:strike/>
        </w:rPr>
        <w:t>ì</w:t>
      </w:r>
      <w:proofErr w:type="spellEnd"/>
      <w:r w:rsidR="00174862" w:rsidRPr="00174862">
        <w:t xml:space="preserve">. A mineral lick, </w:t>
      </w:r>
      <w:proofErr w:type="spellStart"/>
      <w:r w:rsidR="00786114">
        <w:rPr>
          <w:b/>
          <w:bCs/>
          <w:i/>
          <w:iCs/>
        </w:rPr>
        <w:t>ónób</w:t>
      </w:r>
      <w:r w:rsidR="00786114">
        <w:rPr>
          <w:b/>
          <w:bCs/>
          <w:i/>
          <w:iCs/>
          <w:strike/>
        </w:rPr>
        <w:t>ì</w:t>
      </w:r>
      <w:proofErr w:type="spellEnd"/>
      <w:r w:rsidR="00174862" w:rsidRPr="00174862">
        <w:t xml:space="preserve">, literally </w:t>
      </w:r>
      <w:r w:rsidR="002C19EE">
        <w:t>means</w:t>
      </w:r>
      <w:r w:rsidR="00174862" w:rsidRPr="00174862">
        <w:t xml:space="preserve"> “place of</w:t>
      </w:r>
      <w:r w:rsidR="00347DFE">
        <w:t xml:space="preserve"> </w:t>
      </w:r>
      <w:proofErr w:type="spellStart"/>
      <w:r w:rsidR="00174862" w:rsidRPr="002C19EE">
        <w:rPr>
          <w:i/>
          <w:iCs/>
        </w:rPr>
        <w:t>masato</w:t>
      </w:r>
      <w:proofErr w:type="spellEnd"/>
      <w:r w:rsidR="00174862" w:rsidRPr="00174862">
        <w:t xml:space="preserve">”, </w:t>
      </w:r>
      <w:r w:rsidR="002C19EE">
        <w:t xml:space="preserve">which is </w:t>
      </w:r>
      <w:r w:rsidR="00174862" w:rsidRPr="00174862">
        <w:t>why animals are</w:t>
      </w:r>
      <w:r w:rsidR="002C19EE">
        <w:t xml:space="preserve"> </w:t>
      </w:r>
      <w:r w:rsidR="00174862" w:rsidRPr="00174862">
        <w:t>attracted.</w:t>
      </w:r>
      <w:r w:rsidR="002C19EE">
        <w:t xml:space="preserve"> The </w:t>
      </w:r>
      <w:proofErr w:type="spellStart"/>
      <w:r w:rsidR="002C19EE">
        <w:t>Maijuna</w:t>
      </w:r>
      <w:proofErr w:type="spellEnd"/>
      <w:r w:rsidR="002C19EE">
        <w:t xml:space="preserve"> believe that </w:t>
      </w:r>
      <w:r w:rsidR="001C6A7C">
        <w:t xml:space="preserve">the </w:t>
      </w:r>
      <w:r w:rsidR="006D241D">
        <w:t xml:space="preserve">different </w:t>
      </w:r>
      <w:r w:rsidR="002C19EE">
        <w:t>animal</w:t>
      </w:r>
      <w:r w:rsidR="00486D3C">
        <w:t xml:space="preserve"> species</w:t>
      </w:r>
      <w:r w:rsidR="002C19EE">
        <w:t xml:space="preserve"> </w:t>
      </w:r>
      <w:r w:rsidR="001C6A7C">
        <w:t xml:space="preserve">that </w:t>
      </w:r>
      <w:r w:rsidR="00D07EBB">
        <w:t>visit</w:t>
      </w:r>
      <w:r w:rsidR="002C19EE">
        <w:t xml:space="preserve"> mineral licks </w:t>
      </w:r>
      <w:r w:rsidR="006D241D">
        <w:t xml:space="preserve">are there </w:t>
      </w:r>
      <w:r w:rsidR="00E23CD3">
        <w:t xml:space="preserve">specifically </w:t>
      </w:r>
      <w:r w:rsidR="002C19EE">
        <w:t xml:space="preserve">to drink </w:t>
      </w:r>
      <w:proofErr w:type="spellStart"/>
      <w:r w:rsidR="002C19EE" w:rsidRPr="002C19EE">
        <w:rPr>
          <w:i/>
          <w:iCs/>
        </w:rPr>
        <w:t>masato</w:t>
      </w:r>
      <w:proofErr w:type="spellEnd"/>
      <w:r w:rsidR="002C19EE">
        <w:t xml:space="preserve">. </w:t>
      </w:r>
    </w:p>
    <w:p w14:paraId="351F805C" w14:textId="77777777" w:rsidR="00556D34" w:rsidRDefault="00556D34" w:rsidP="00CE00E0">
      <w:pPr>
        <w:spacing w:line="480" w:lineRule="auto"/>
      </w:pPr>
    </w:p>
    <w:p w14:paraId="001615BD" w14:textId="26148FC9" w:rsidR="00097283" w:rsidRDefault="00D44DBE" w:rsidP="00CE00E0">
      <w:pPr>
        <w:spacing w:line="480" w:lineRule="auto"/>
      </w:pPr>
      <w:r>
        <w:rPr>
          <w:u w:val="single"/>
        </w:rPr>
        <w:lastRenderedPageBreak/>
        <w:t>Changing relationships through time</w:t>
      </w:r>
    </w:p>
    <w:p w14:paraId="1AABF045" w14:textId="78301AA7" w:rsidR="00097283" w:rsidRDefault="00097283" w:rsidP="00CE00E0">
      <w:pPr>
        <w:spacing w:line="480" w:lineRule="auto"/>
      </w:pPr>
    </w:p>
    <w:p w14:paraId="203D4E78" w14:textId="49DC4985" w:rsidR="007B4C89" w:rsidRDefault="008E1F56" w:rsidP="00CE00E0">
      <w:pPr>
        <w:spacing w:line="480" w:lineRule="auto"/>
        <w:ind w:firstLine="720"/>
      </w:pPr>
      <w:r w:rsidRPr="008E1F56">
        <w:t xml:space="preserve">First contacted by Jesuit missionaries in 1682, </w:t>
      </w:r>
      <w:r w:rsidR="007B4C89">
        <w:t xml:space="preserve">the </w:t>
      </w:r>
      <w:proofErr w:type="spellStart"/>
      <w:r w:rsidR="007B4C89">
        <w:t>Maijuna’s</w:t>
      </w:r>
      <w:proofErr w:type="spellEnd"/>
      <w:r w:rsidRPr="008E1F56">
        <w:t xml:space="preserve"> population declined dramatically due to epidemics, fighting, and then enslavement during the rubber boom. Over the years, </w:t>
      </w:r>
      <w:proofErr w:type="spellStart"/>
      <w:r w:rsidRPr="008E1F56">
        <w:t>Maijuna</w:t>
      </w:r>
      <w:proofErr w:type="spellEnd"/>
      <w:r w:rsidRPr="008E1F56">
        <w:t xml:space="preserve"> traditional beliefs, language, and ways of life have been undermined by missionary teachings, </w:t>
      </w:r>
      <w:proofErr w:type="spellStart"/>
      <w:r w:rsidRPr="008E1F56">
        <w:rPr>
          <w:i/>
          <w:iCs/>
        </w:rPr>
        <w:t>patr</w:t>
      </w:r>
      <w:r w:rsidR="00B839C1">
        <w:rPr>
          <w:i/>
          <w:iCs/>
        </w:rPr>
        <w:t>o</w:t>
      </w:r>
      <w:r w:rsidRPr="008E1F56">
        <w:rPr>
          <w:i/>
          <w:iCs/>
        </w:rPr>
        <w:t>n</w:t>
      </w:r>
      <w:r w:rsidR="007E25C0">
        <w:rPr>
          <w:i/>
          <w:iCs/>
        </w:rPr>
        <w:t>es</w:t>
      </w:r>
      <w:r w:rsidR="00862502" w:rsidRPr="00862502">
        <w:rPr>
          <w:vertAlign w:val="superscript"/>
        </w:rPr>
        <w:t>c</w:t>
      </w:r>
      <w:proofErr w:type="spellEnd"/>
      <w:r w:rsidRPr="008E1F56">
        <w:t xml:space="preserve">, </w:t>
      </w:r>
      <w:r w:rsidR="003836F6" w:rsidRPr="008E1F56">
        <w:t xml:space="preserve">regional society, </w:t>
      </w:r>
      <w:r w:rsidRPr="008E1F56">
        <w:t xml:space="preserve">ill-conceived government policies, </w:t>
      </w:r>
      <w:r>
        <w:t xml:space="preserve">and </w:t>
      </w:r>
      <w:r w:rsidRPr="00673B60">
        <w:t xml:space="preserve">a </w:t>
      </w:r>
      <w:r>
        <w:t xml:space="preserve">formal </w:t>
      </w:r>
      <w:r w:rsidRPr="00673B60">
        <w:t>education system that does</w:t>
      </w:r>
      <w:r>
        <w:t xml:space="preserve"> </w:t>
      </w:r>
      <w:r w:rsidRPr="00673B60">
        <w:t xml:space="preserve">not value traditional </w:t>
      </w:r>
      <w:r>
        <w:t>knowledge</w:t>
      </w:r>
      <w:r w:rsidR="008477AE">
        <w:t xml:space="preserve"> </w:t>
      </w:r>
      <w:r w:rsidR="00FB0BA2">
        <w:fldChar w:fldCharType="begin"/>
      </w:r>
      <w:r w:rsidR="00673781">
        <w:instrText xml:space="preserve"> ADDIN ZOTERO_ITEM CSL_CITATION {"citationID":"jxGEENRg","properties":{"formattedCitation":"[32]","plainCitation":"[32]","noteIndex":0},"citationItems":[{"id":27,"uris":["http://zotero.org/users/1105362/items/CARCRHUP"],"uri":["http://zotero.org/users/1105362/items/CARCRHUP"],"itemData":{"id":27,"type":"book","title":"Los Pueblos Indios En Sus Mitos: Mai-huna","publisher":"Editorial Abya Yala","volume":"2","source":"Google Scholar","URL":"http://books.google.com/books?hl=en&amp;lr=&amp;id=GFwRPa38nskC&amp;oi=fnd&amp;pg=PA9&amp;dq=Mai-huna+Tomo+I&amp;ots=HVPBVtQ-hh&amp;sig=IYNN_oOzQpO8J5FXzwTFCbNAUoQ","title-short":"Los Pueblos Indios En Sus Mitos","author":[{"family":"Bellier","given":"I."}],"issued":{"date-parts":[["1993"]]},"accessed":{"date-parts":[["2012",12,19]]}}}],"schema":"https://github.com/citation-style-language/schema/raw/master/csl-citation.json"} </w:instrText>
      </w:r>
      <w:r w:rsidR="00FB0BA2">
        <w:fldChar w:fldCharType="separate"/>
      </w:r>
      <w:r w:rsidR="00673781">
        <w:rPr>
          <w:noProof/>
        </w:rPr>
        <w:t>[32]</w:t>
      </w:r>
      <w:r w:rsidR="00FB0BA2">
        <w:fldChar w:fldCharType="end"/>
      </w:r>
      <w:r w:rsidR="00FB0BA2">
        <w:fldChar w:fldCharType="begin"/>
      </w:r>
      <w:r w:rsidR="00673781">
        <w:instrText xml:space="preserve"> ADDIN ZOTERO_ITEM CSL_CITATION {"citationID":"EqF1WpdI","properties":{"formattedCitation":"[33]","plainCitation":"[33]","noteIndex":0},"citationItems":[{"id":29,"uris":["http://zotero.org/users/1105362/items/NRPDTZ3I"],"uri":["http://zotero.org/users/1105362/items/NRPDTZ3I"],"itemData":{"id":29,"type":"chapter","title":"Los Mai Huna, Tucano occidentales","container-title":"Guía Etnográfica de la Alta Amazonía","publisher":"FLACSO-SEDE","publisher-place":"Quito","page":"1-180","source":"www.ifeanet.org","event-place":"Quito","abstract":"-","URL":"http://www.ifeanet.org/publicaciones/articulo.php?codart=196","author":[{"family":"Bellier","given":"I."}],"editor":[{"family":"Santos","given":"F."},{"family":"Barclay","given":"F."}],"issued":{"date-parts":[["1994"]]},"accessed":{"date-parts":[["2012",12,19]]}}}],"schema":"https://github.com/citation-style-language/schema/raw/master/csl-citation.json"} </w:instrText>
      </w:r>
      <w:r w:rsidR="00FB0BA2">
        <w:fldChar w:fldCharType="separate"/>
      </w:r>
      <w:r w:rsidR="00673781">
        <w:rPr>
          <w:noProof/>
        </w:rPr>
        <w:t>[33]</w:t>
      </w:r>
      <w:r w:rsidR="00FB0BA2">
        <w:fldChar w:fldCharType="end"/>
      </w:r>
      <w:r w:rsidR="00FB0BA2">
        <w:fldChar w:fldCharType="begin"/>
      </w:r>
      <w:r w:rsidR="00FD52E5">
        <w:instrText xml:space="preserve"> ADDIN ZOTERO_ITEM CSL_CITATION {"citationID":"UoxqKgZV","properties":{"formattedCitation":"[13]","plainCitation":"[13]","noteIndex":0},"citationItems":[{"id":2107,"uris":["http://zotero.org/users/1105362/items/YP4GVTHC"],"uri":["http://zotero.org/users/1105362/items/YP4GVTHC"],"itemData":{"id":2107,"type":"article-journal","title":"The Maijuna: past, present, and future","container-title":"Perú: Maijuna, Rapid biological and social inventories Report","page":"226–233","volume":"22","source":"Google Scholar","title-short":"The Maijuna","author":[{"family":"Gilmore","given":"Michael P."}],"issued":{"date-parts":[["2010"]]}}}],"schema":"https://github.com/citation-style-language/schema/raw/master/csl-citation.json"} </w:instrText>
      </w:r>
      <w:r w:rsidR="00FB0BA2">
        <w:fldChar w:fldCharType="separate"/>
      </w:r>
      <w:r w:rsidR="00FD52E5">
        <w:rPr>
          <w:noProof/>
        </w:rPr>
        <w:t>[13]</w:t>
      </w:r>
      <w:r w:rsidR="00FB0BA2">
        <w:fldChar w:fldCharType="end"/>
      </w:r>
      <w:r>
        <w:t xml:space="preserve">. This has </w:t>
      </w:r>
      <w:r w:rsidRPr="00673B60">
        <w:t xml:space="preserve">led to a disconnect with their </w:t>
      </w:r>
      <w:r w:rsidR="007B4C89">
        <w:t xml:space="preserve">traditional </w:t>
      </w:r>
      <w:r w:rsidRPr="00673B60">
        <w:t>cultural</w:t>
      </w:r>
      <w:r>
        <w:t xml:space="preserve"> </w:t>
      </w:r>
      <w:r w:rsidRPr="00673B60">
        <w:t>practices</w:t>
      </w:r>
      <w:r>
        <w:t xml:space="preserve"> and beliefs</w:t>
      </w:r>
      <w:r w:rsidRPr="00673B60">
        <w:t>, causing a rapid loss of traditional</w:t>
      </w:r>
      <w:r>
        <w:t xml:space="preserve"> </w:t>
      </w:r>
      <w:r w:rsidRPr="00673B60">
        <w:t>knowledge</w:t>
      </w:r>
      <w:r w:rsidR="008477AE">
        <w:t xml:space="preserve"> </w:t>
      </w:r>
      <w:r w:rsidR="00D04388">
        <w:fldChar w:fldCharType="begin"/>
      </w:r>
      <w:r w:rsidR="00FD52E5">
        <w:instrText xml:space="preserve"> ADDIN ZOTERO_ITEM CSL_CITATION {"citationID":"XkL55XwD","properties":{"formattedCitation":"[16]","plainCitation":"[16]","noteIndex":0},"citationItems":[{"id":2115,"uris":["http://zotero.org/users/1105362/items/JVU47FAQ"],"uri":["http://zotero.org/users/1105362/items/JVU47FAQ"],"itemData":{"id":2115,"type":"thesis","title":"An ethnoecological and ethnobotanical study of the Maijuna Indians of the Peruvian Amazon","publisher":"Miami University","genre":"PhD Thesis","source":"Google Scholar","author":[{"family":"Gilmore","given":"Michael Patrick"}],"issued":{"date-parts":[["2005"]]}}}],"schema":"https://github.com/citation-style-language/schema/raw/master/csl-citation.json"} </w:instrText>
      </w:r>
      <w:r w:rsidR="00D04388">
        <w:fldChar w:fldCharType="separate"/>
      </w:r>
      <w:r w:rsidR="00FD52E5">
        <w:rPr>
          <w:noProof/>
        </w:rPr>
        <w:t>[16]</w:t>
      </w:r>
      <w:r w:rsidR="00D04388">
        <w:fldChar w:fldCharType="end"/>
      </w:r>
      <w:r w:rsidR="00D04388">
        <w:fldChar w:fldCharType="begin"/>
      </w:r>
      <w:r w:rsidR="00FD52E5">
        <w:instrText xml:space="preserve"> ADDIN ZOTERO_ITEM CSL_CITATION {"citationID":"9wGso6YU","properties":{"formattedCitation":"[13]","plainCitation":"[13]","noteIndex":0},"citationItems":[{"id":2107,"uris":["http://zotero.org/users/1105362/items/YP4GVTHC"],"uri":["http://zotero.org/users/1105362/items/YP4GVTHC"],"itemData":{"id":2107,"type":"article-journal","title":"The Maijuna: past, present, and future","container-title":"Perú: Maijuna, Rapid biological and social inventories Report","page":"226–233","volume":"22","source":"Google Scholar","title-short":"The Maijuna","author":[{"family":"Gilmore","given":"Michael P."}],"issued":{"date-parts":[["2010"]]}}}],"schema":"https://github.com/citation-style-language/schema/raw/master/csl-citation.json"} </w:instrText>
      </w:r>
      <w:r w:rsidR="00D04388">
        <w:fldChar w:fldCharType="separate"/>
      </w:r>
      <w:r w:rsidR="00FD52E5">
        <w:rPr>
          <w:noProof/>
        </w:rPr>
        <w:t>[13]</w:t>
      </w:r>
      <w:r w:rsidR="00D04388">
        <w:fldChar w:fldCharType="end"/>
      </w:r>
      <w:r w:rsidR="00D04388">
        <w:fldChar w:fldCharType="begin"/>
      </w:r>
      <w:r w:rsidR="00FD52E5">
        <w:instrText xml:space="preserve"> ADDIN ZOTERO_ITEM CSL_CITATION {"citationID":"bU5DBJFQ","properties":{"formattedCitation":"[14]","plainCitation":"[14]","noteIndex":0},"citationItems":[{"id":2111,"uris":["http://zotero.org/users/1105362/items/TMJP7NRR"],"uri":["http://zotero.org/users/1105362/items/TMJP7NRR"],"itemData":{"id":2111,"type":"book","title":"Perú: Maijuna","publisher":"Field Museum, Environment, Culture and Conservation","source":"Google Scholar","title-short":"Perú","author":[{"family":"Gilmore","given":"Michael P."},{"family":"Vriesendorp","given":"Corine"},{"family":"Alverson","given":"William Surprison"},{"family":"Von May","given":"Rudolf"},{"family":"Wong","given":"Cristina López"},{"family":"Ochoa","given":"Sebastián Ríos"}],"issued":{"date-parts":[["2010"]]}}}],"schema":"https://github.com/citation-style-language/schema/raw/master/csl-citation.json"} </w:instrText>
      </w:r>
      <w:r w:rsidR="00D04388">
        <w:fldChar w:fldCharType="separate"/>
      </w:r>
      <w:r w:rsidR="00FD52E5">
        <w:rPr>
          <w:noProof/>
        </w:rPr>
        <w:t>[14]</w:t>
      </w:r>
      <w:r w:rsidR="00D04388">
        <w:fldChar w:fldCharType="end"/>
      </w:r>
      <w:r w:rsidR="00D04388">
        <w:fldChar w:fldCharType="begin"/>
      </w:r>
      <w:r w:rsidR="00673781">
        <w:instrText xml:space="preserve"> ADDIN ZOTERO_ITEM CSL_CITATION {"citationID":"j1N9jcSI","properties":{"formattedCitation":"[30]","plainCitation":"[30]","noteIndex":0},"citationItems":[{"id":2141,"uris":["http://zotero.org/users/1105362/items/IBCDBSZN"],"uri":["http://zotero.org/users/1105362/items/IBCDBSZN"],"itemData":{"id":2141,"type":"article-journal","title":"The socio-cultural importance of Mauritia flexuosa palm swamps (aguajales) and implications for multi-use management in two Maijuna communities of the Peruvian Amazon","container-title":"Journal of Ethnobiology and Ethnomedicine","page":"29","volume":"9","issue":"1","source":"Google Scholar","author":[{"family":"Gilmore","given":"Michael P."},{"family":"Endress","given":"Bryan A."},{"family":"Horn","given":"Christa M."}],"issued":{"date-parts":[["2013"]]}}}],"schema":"https://github.com/citation-style-language/schema/raw/master/csl-citation.json"} </w:instrText>
      </w:r>
      <w:r w:rsidR="00D04388">
        <w:fldChar w:fldCharType="separate"/>
      </w:r>
      <w:r w:rsidR="00673781">
        <w:rPr>
          <w:noProof/>
        </w:rPr>
        <w:t>[30]</w:t>
      </w:r>
      <w:r w:rsidR="00D04388">
        <w:fldChar w:fldCharType="end"/>
      </w:r>
      <w:r w:rsidR="00D04388">
        <w:fldChar w:fldCharType="begin"/>
      </w:r>
      <w:r w:rsidR="00FD52E5">
        <w:instrText xml:space="preserve"> ADDIN ZOTERO_ITEM CSL_CITATION {"citationID":"DKlJ2Zgc","properties":{"formattedCitation":"[15]","plainCitation":"[15]","noteIndex":0},"citationItems":[{"id":2113,"uris":["http://zotero.org/users/1105362/items/X7F664V5"],"uri":["http://zotero.org/users/1105362/items/X7F664V5"],"itemData":{"id":2113,"type":"article-journal","title":"The ethnoprimatology of the Maijuna of the Peruvian Amazon and implications for primate conservation","container-title":"Journal of ethnobiology and ethnomedicine","page":"19","volume":"14","issue":"1","source":"Google Scholar","author":[{"family":"Roncal","given":"Carla Mere"},{"family":"Bowler","given":"Mark"},{"family":"Gilmore","given":"Michael P."}],"issued":{"date-parts":[["2018"]]}}}],"schema":"https://github.com/citation-style-language/schema/raw/master/csl-citation.json"} </w:instrText>
      </w:r>
      <w:r w:rsidR="00D04388">
        <w:fldChar w:fldCharType="separate"/>
      </w:r>
      <w:r w:rsidR="00FD52E5">
        <w:rPr>
          <w:noProof/>
        </w:rPr>
        <w:t>[15]</w:t>
      </w:r>
      <w:r w:rsidR="00D04388">
        <w:fldChar w:fldCharType="end"/>
      </w:r>
      <w:r w:rsidRPr="00673B60">
        <w:t>, commonly recognized as acculturation</w:t>
      </w:r>
      <w:r>
        <w:t xml:space="preserve"> </w:t>
      </w:r>
      <w:r w:rsidR="00124CE8">
        <w:fldChar w:fldCharType="begin"/>
      </w:r>
      <w:r w:rsidR="00673781">
        <w:instrText xml:space="preserve"> ADDIN ZOTERO_ITEM CSL_CITATION {"citationID":"b1HhtF2f","properties":{"formattedCitation":"[34]","plainCitation":"[34]","noteIndex":0},"citationItems":[{"id":2148,"uris":["http://zotero.org/users/1105362/items/DJM8LZAI"],"uri":["http://zotero.org/users/1105362/items/DJM8LZAI"],"itemData":{"id":2148,"type":"article-journal","title":"Cultural change and traditional ecological knowledge. An empirical analysis from the Tsimane’in the Bolivian Amazon","container-title":"Human Organization","page":"162","volume":"73","issue":"2","source":"Google Scholar","author":[{"family":"Reyes-García","given":"Victoria"},{"family":"Paneque-Gálvez","given":"Jaime"},{"family":"Luz","given":"Ana C."},{"family":"Gueze","given":"Maximilien"},{"family":"Macía","given":"Manuel J."},{"family":"Orta-Martínez","given":"Martí"},{"family":"Pino","given":"Joan"}],"issued":{"date-parts":[["2014"]]}}}],"schema":"https://github.com/citation-style-language/schema/raw/master/csl-citation.json"} </w:instrText>
      </w:r>
      <w:r w:rsidR="00124CE8">
        <w:fldChar w:fldCharType="separate"/>
      </w:r>
      <w:r w:rsidR="00673781">
        <w:t>[34]</w:t>
      </w:r>
      <w:r w:rsidR="00124CE8">
        <w:fldChar w:fldCharType="end"/>
      </w:r>
      <w:r w:rsidRPr="00673B60">
        <w:t>.</w:t>
      </w:r>
      <w:r w:rsidR="0046530B">
        <w:t xml:space="preserve"> </w:t>
      </w:r>
    </w:p>
    <w:p w14:paraId="004AD820" w14:textId="6A468CB2" w:rsidR="007B4C89" w:rsidRDefault="007B4C89" w:rsidP="00CE00E0">
      <w:pPr>
        <w:spacing w:line="480" w:lineRule="auto"/>
        <w:ind w:firstLine="720"/>
      </w:pPr>
      <w:r>
        <w:t xml:space="preserve">Due to these realities, the relationship that the </w:t>
      </w:r>
      <w:proofErr w:type="spellStart"/>
      <w:r>
        <w:t>Maijuna</w:t>
      </w:r>
      <w:proofErr w:type="spellEnd"/>
      <w:r>
        <w:t xml:space="preserve"> have with mineral licks has changed considerably over time. </w:t>
      </w:r>
      <w:r w:rsidR="00D42CAE">
        <w:t xml:space="preserve">For example, they traditionally hunted game animals at mineral licks with spears only during the day. </w:t>
      </w:r>
      <w:r w:rsidR="00371699">
        <w:t>Over the past 100 years, the</w:t>
      </w:r>
      <w:r w:rsidR="00D42CAE">
        <w:t xml:space="preserve"> introduction of shotguns </w:t>
      </w:r>
      <w:r w:rsidR="00B722B8">
        <w:t xml:space="preserve">in the </w:t>
      </w:r>
      <w:proofErr w:type="spellStart"/>
      <w:r w:rsidR="00B722B8">
        <w:t>Maijuna</w:t>
      </w:r>
      <w:proofErr w:type="spellEnd"/>
      <w:r w:rsidR="00B722B8">
        <w:t xml:space="preserve"> communities </w:t>
      </w:r>
      <w:r w:rsidR="00801F09">
        <w:t xml:space="preserve">has </w:t>
      </w:r>
      <w:r w:rsidR="00B722B8">
        <w:t xml:space="preserve">drastically increased hunting efficiency over traditional methods </w:t>
      </w:r>
      <w:r w:rsidR="00DF0E12">
        <w:fldChar w:fldCharType="begin"/>
      </w:r>
      <w:r w:rsidR="00673781">
        <w:instrText xml:space="preserve"> ADDIN ZOTERO_ITEM CSL_CITATION {"citationID":"hZjulThl","properties":{"formattedCitation":"[35]","plainCitation":"[35]","noteIndex":0},"citationItems":[{"id":2171,"uris":["http://zotero.org/users/1105362/items/4B9F4SPH"],"uri":["http://zotero.org/users/1105362/items/4B9F4SPH"],"itemData":{"id":2171,"type":"article-journal","title":"A comparison of the efficiencies of the shotgun and the bow in neotropical forest hunting","container-title":"Human Ecology","page":"219-252","volume":"7","issue":"3","source":"Springer Link","abstract":"Whenever introduced into Amazonia and its neighboring regions, the shotgun has quickly replaced the bow and arrow and other aboriginal weapons of the hunt. The quick and widespread adoption of the shotgun is plainly a matter of its superiority over most aboriginal weapons. This paper compares the hunting efficiencies of the shotgun and the bow by means of a controlled field experiment among the Ye'kwana and Yanomamö Indians of the Upper Orinoco River of southern Venezuela. It also examines the impact of the shotgun on local animal populations and the economic changes brought about by the need to cash-crop in order to purchase Western hunting technology.","DOI":"10.1007/BF00889493","ISSN":"1572-9915","journalAbbreviation":"Hum Ecol","language":"en","author":[{"family":"Hames","given":"Raymond B."}],"issued":{"date-parts":[["1979",9,1]]}}}],"schema":"https://github.com/citation-style-language/schema/raw/master/csl-citation.json"} </w:instrText>
      </w:r>
      <w:r w:rsidR="00DF0E12">
        <w:fldChar w:fldCharType="separate"/>
      </w:r>
      <w:r w:rsidR="00673781">
        <w:rPr>
          <w:noProof/>
        </w:rPr>
        <w:t>[35]</w:t>
      </w:r>
      <w:r w:rsidR="00DF0E12">
        <w:fldChar w:fldCharType="end"/>
      </w:r>
      <w:r w:rsidR="00B722B8">
        <w:t xml:space="preserve">. </w:t>
      </w:r>
      <w:r w:rsidR="00536569">
        <w:t>T</w:t>
      </w:r>
      <w:r w:rsidR="00B722B8">
        <w:t>he acquisition of incandescent battery-powered flashlights</w:t>
      </w:r>
      <w:r w:rsidR="00145A0A">
        <w:t xml:space="preserve"> has also</w:t>
      </w:r>
      <w:r w:rsidR="00B722B8">
        <w:t xml:space="preserve"> </w:t>
      </w:r>
      <w:r w:rsidR="00371699">
        <w:t>facilitated night hunting, allowing the harvesting of nocturnal species at mineral lick</w:t>
      </w:r>
      <w:r w:rsidR="009F535B">
        <w:t xml:space="preserve">s. More recently in approximately 2011, </w:t>
      </w:r>
      <w:r w:rsidR="00801F09">
        <w:t xml:space="preserve">the </w:t>
      </w:r>
      <w:proofErr w:type="spellStart"/>
      <w:r w:rsidR="00801F09">
        <w:t>Maijuna</w:t>
      </w:r>
      <w:proofErr w:type="spellEnd"/>
      <w:r w:rsidR="00801F09">
        <w:t xml:space="preserve"> began using new, brighter and more efficient </w:t>
      </w:r>
      <w:r w:rsidR="00801F09" w:rsidRPr="00801F09">
        <w:t>light-emitting diode (LED) flashlights enabl</w:t>
      </w:r>
      <w:r w:rsidR="00801F09">
        <w:t>ing</w:t>
      </w:r>
      <w:r w:rsidR="00801F09" w:rsidRPr="00801F09">
        <w:t xml:space="preserve"> hunters to find and kill prey more easily by increasing the freezing response of many species in spotlights. </w:t>
      </w:r>
      <w:proofErr w:type="spellStart"/>
      <w:r w:rsidR="00801F09">
        <w:t>Maijuna</w:t>
      </w:r>
      <w:proofErr w:type="spellEnd"/>
      <w:r w:rsidR="00801F09">
        <w:t xml:space="preserve"> hunters</w:t>
      </w:r>
      <w:r w:rsidR="00801F09" w:rsidRPr="00801F09">
        <w:t xml:space="preserve"> now hunt longer and more frequently at night, </w:t>
      </w:r>
      <w:r w:rsidR="00801F09">
        <w:t xml:space="preserve">in mineral licks and beyond, </w:t>
      </w:r>
      <w:r w:rsidR="00801F09" w:rsidRPr="00801F09">
        <w:t>increasing kill rates of nocturnal species and likely overall harvests</w:t>
      </w:r>
      <w:r w:rsidR="00801F09">
        <w:t xml:space="preserve"> </w:t>
      </w:r>
      <w:r w:rsidR="004D5F9E">
        <w:fldChar w:fldCharType="begin"/>
      </w:r>
      <w:r w:rsidR="00010172">
        <w:instrText xml:space="preserve"> ADDIN ZOTERO_ITEM CSL_CITATION {"citationID":"de7Dhm70","properties":{"formattedCitation":"[5]","plainCitation":"[5]","noteIndex":0},"citationItems":[{"id":2176,"uris":["http://zotero.org/users/1105362/items/ZHWEPGZ4"],"uri":["http://zotero.org/users/1105362/items/ZHWEPGZ4"],"itemData":{"id":2176,"type":"article-journal","title":"LED flashlight technology facilitates wild meat extraction across the tropics","container-title":"Frontiers in Ecology and the Environment","volume":"n/a","issue":"n/a","source":"Wiley Online Library","abstract":"Hunting for wild meat in the tropics provides subsistence and income for millions of people. Methods have remained relatively unchanged since the introduction of shotguns and battery-powered incandescent flashlights, but the short battery life of such flashlights has limited nocturnal hunting. However, hunters in many countries throughout the tropics have recently begun to switch to brighter and more efficient light-emitting diode (LED) flashlights. Such brighter spotlights stimulate the freeze response of many species, and improved battery life allows hunters to pursue game more often and for longer periods of time. Interviews with hunters in African and South American tropical forests revealed that LEDs increase the frequency and efficiency of nocturnal hunting, and subsequently the number of kills made. In Brazil, these findings were supported by harvest data. The marked change in efficiency brought about by LEDs, well known to hunters around the world, poses a major threat to wildlife. Here we consider the implications of the increasing use of LED lights in hunting for communities, governments, wildlife managers, and conservationists.","URL":"https://esajournals.onlinelibrary.wiley.com/doi/abs/10.1002/fee.2242","DOI":"10.1002/fee.2242","ISSN":"1540-9309","language":"en","author":[{"family":"Bowler","given":"Mark"},{"family":"Beirne","given":"Christopher"},{"family":"Tobler","given":"Mathias W."},{"family":"Anderson","given":"Matt"},{"family":"DiPaola","given":"Anna"},{"family":"Fa","given":"John E."},{"family":"Gilmore","given":"Michael P."},{"family":"Lemos","given":"Lisley P."},{"family":"Mayor","given":"Pedro"},{"family":"Meier","given":"Amelia"},{"family":"Menie","given":"Guillaume Menie"},{"family":"Meza","given":"Diana"},{"family":"Moreno‐Gutierrez","given":"Delia"},{"family":"Poulsen","given":"John R."},{"family":"Jesus","given":"Anamélia de Souza"},{"family":"Valsecchi","given":"João"},{"family":"Bizri","given":"Hani R. El"}],"accessed":{"date-parts":[["2020",9,10]]}}}],"schema":"https://github.com/citation-style-language/schema/raw/master/csl-citation.json"} </w:instrText>
      </w:r>
      <w:r w:rsidR="004D5F9E">
        <w:fldChar w:fldCharType="separate"/>
      </w:r>
      <w:r w:rsidR="00010172">
        <w:rPr>
          <w:noProof/>
        </w:rPr>
        <w:t>[5]</w:t>
      </w:r>
      <w:r w:rsidR="004D5F9E">
        <w:fldChar w:fldCharType="end"/>
      </w:r>
      <w:r w:rsidR="00801F09">
        <w:t xml:space="preserve">. </w:t>
      </w:r>
      <w:proofErr w:type="gramStart"/>
      <w:r w:rsidR="00801F09">
        <w:t>All of</w:t>
      </w:r>
      <w:proofErr w:type="gramEnd"/>
      <w:r w:rsidR="00801F09">
        <w:t xml:space="preserve"> these changes</w:t>
      </w:r>
      <w:r w:rsidR="00653377">
        <w:t xml:space="preserve"> in hunting technologies and methods</w:t>
      </w:r>
      <w:r w:rsidR="0039420A">
        <w:t>,</w:t>
      </w:r>
      <w:r w:rsidR="00801F09">
        <w:t xml:space="preserve"> </w:t>
      </w:r>
      <w:r w:rsidR="0039420A">
        <w:t xml:space="preserve">along with </w:t>
      </w:r>
      <w:r w:rsidR="00536569">
        <w:t>increasing</w:t>
      </w:r>
      <w:r w:rsidR="0039420A">
        <w:t xml:space="preserve"> integration into the market economy and subsequent hunting </w:t>
      </w:r>
      <w:r w:rsidR="00536569">
        <w:t xml:space="preserve">for </w:t>
      </w:r>
      <w:r w:rsidR="0039420A">
        <w:t xml:space="preserve">income generation, have </w:t>
      </w:r>
      <w:r w:rsidR="00536569">
        <w:t xml:space="preserve">significant conservation and management implications for the hunting of game animals at mineral licks in </w:t>
      </w:r>
      <w:proofErr w:type="spellStart"/>
      <w:r w:rsidR="00536569">
        <w:t>Maijuna</w:t>
      </w:r>
      <w:proofErr w:type="spellEnd"/>
      <w:r w:rsidR="00536569">
        <w:t xml:space="preserve"> lands. </w:t>
      </w:r>
    </w:p>
    <w:p w14:paraId="702974CC" w14:textId="63A7C5F3" w:rsidR="009A702C" w:rsidRDefault="002820B8" w:rsidP="00CE00E0">
      <w:pPr>
        <w:spacing w:line="480" w:lineRule="auto"/>
        <w:ind w:firstLine="720"/>
      </w:pPr>
      <w:r>
        <w:lastRenderedPageBreak/>
        <w:t xml:space="preserve">The </w:t>
      </w:r>
      <w:proofErr w:type="spellStart"/>
      <w:r>
        <w:t>Maijuna’s</w:t>
      </w:r>
      <w:proofErr w:type="spellEnd"/>
      <w:r>
        <w:t xml:space="preserve"> changing relationship with mineral licks </w:t>
      </w:r>
      <w:r w:rsidR="00E733E0">
        <w:t xml:space="preserve">is </w:t>
      </w:r>
      <w:r>
        <w:t xml:space="preserve">also </w:t>
      </w:r>
      <w:r w:rsidR="00E733E0">
        <w:t>evident</w:t>
      </w:r>
      <w:r>
        <w:t xml:space="preserve"> </w:t>
      </w:r>
      <w:r w:rsidR="00A81ABE">
        <w:t xml:space="preserve">in both the naming of and traditional beliefs about licks. </w:t>
      </w:r>
      <w:r w:rsidR="00E733E0">
        <w:t>Out of the 19 active hunters interviewed for this study</w:t>
      </w:r>
      <w:r w:rsidR="006435E5">
        <w:t xml:space="preserve"> in the </w:t>
      </w:r>
      <w:proofErr w:type="spellStart"/>
      <w:r w:rsidR="006435E5">
        <w:t>Maijuna</w:t>
      </w:r>
      <w:proofErr w:type="spellEnd"/>
      <w:r w:rsidR="006435E5">
        <w:t xml:space="preserve"> community of </w:t>
      </w:r>
      <w:proofErr w:type="spellStart"/>
      <w:r w:rsidR="006435E5">
        <w:t>Sucusari</w:t>
      </w:r>
      <w:proofErr w:type="spellEnd"/>
      <w:r w:rsidR="00E733E0">
        <w:t xml:space="preserve">, only four (21%) know the names of mineral licks in the </w:t>
      </w:r>
      <w:proofErr w:type="spellStart"/>
      <w:r w:rsidR="00E733E0">
        <w:t>Maijuna</w:t>
      </w:r>
      <w:proofErr w:type="spellEnd"/>
      <w:r w:rsidR="00E733E0">
        <w:t xml:space="preserve"> language. The rest use exclusively Spanish names for mineral licks</w:t>
      </w:r>
      <w:r w:rsidR="008D240F">
        <w:t xml:space="preserve"> in the </w:t>
      </w:r>
      <w:proofErr w:type="spellStart"/>
      <w:r w:rsidR="008D240F">
        <w:t>Sucusari</w:t>
      </w:r>
      <w:proofErr w:type="spellEnd"/>
      <w:r w:rsidR="008D240F">
        <w:t xml:space="preserve"> River basin</w:t>
      </w:r>
      <w:r w:rsidR="00E733E0">
        <w:t xml:space="preserve">, which are sometimes direct translations from the name in </w:t>
      </w:r>
      <w:proofErr w:type="spellStart"/>
      <w:r w:rsidR="00E733E0">
        <w:t>Maijuna</w:t>
      </w:r>
      <w:proofErr w:type="spellEnd"/>
      <w:r w:rsidR="00E733E0">
        <w:t xml:space="preserve"> but most of the time are not. This is not only due to the fact that </w:t>
      </w:r>
      <w:r w:rsidR="008D240F">
        <w:t xml:space="preserve">the </w:t>
      </w:r>
      <w:proofErr w:type="spellStart"/>
      <w:r w:rsidR="008D240F">
        <w:t>Maijuna</w:t>
      </w:r>
      <w:proofErr w:type="spellEnd"/>
      <w:r w:rsidR="008D240F">
        <w:t xml:space="preserve"> language is </w:t>
      </w:r>
      <w:r w:rsidR="00365FE4">
        <w:t xml:space="preserve">highly </w:t>
      </w:r>
      <w:r w:rsidR="008D240F">
        <w:t xml:space="preserve">endangered and in disuse by younger </w:t>
      </w:r>
      <w:proofErr w:type="spellStart"/>
      <w:r w:rsidR="008D240F">
        <w:t>Maijuna</w:t>
      </w:r>
      <w:proofErr w:type="spellEnd"/>
      <w:r w:rsidR="008D240F">
        <w:t xml:space="preserve"> generations</w:t>
      </w:r>
      <w:r w:rsidR="006051E1">
        <w:t xml:space="preserve"> </w:t>
      </w:r>
      <w:r w:rsidR="00E14294">
        <w:fldChar w:fldCharType="begin"/>
      </w:r>
      <w:r w:rsidR="00FD52E5">
        <w:instrText xml:space="preserve"> ADDIN ZOTERO_ITEM CSL_CITATION {"citationID":"pCsnACt7","properties":{"formattedCitation":"[13]","plainCitation":"[13]","noteIndex":0},"citationItems":[{"id":2107,"uris":["http://zotero.org/users/1105362/items/YP4GVTHC"],"uri":["http://zotero.org/users/1105362/items/YP4GVTHC"],"itemData":{"id":2107,"type":"article-journal","title":"The Maijuna: past, present, and future","container-title":"Perú: Maijuna, Rapid biological and social inventories Report","page":"226–233","volume":"22","source":"Google Scholar","title-short":"The Maijuna","author":[{"family":"Gilmore","given":"Michael P."}],"issued":{"date-parts":[["2010"]]}}}],"schema":"https://github.com/citation-style-language/schema/raw/master/csl-citation.json"} </w:instrText>
      </w:r>
      <w:r w:rsidR="00E14294">
        <w:fldChar w:fldCharType="separate"/>
      </w:r>
      <w:r w:rsidR="00FD52E5">
        <w:rPr>
          <w:noProof/>
        </w:rPr>
        <w:t>[13]</w:t>
      </w:r>
      <w:r w:rsidR="00E14294">
        <w:fldChar w:fldCharType="end"/>
      </w:r>
      <w:r w:rsidR="008D240F">
        <w:t xml:space="preserve">, but also the fact that 9 out of the 19 active hunters (47%) are not </w:t>
      </w:r>
      <w:proofErr w:type="spellStart"/>
      <w:r w:rsidR="008D240F">
        <w:t>Maijuna</w:t>
      </w:r>
      <w:proofErr w:type="spellEnd"/>
      <w:r w:rsidR="008D240F">
        <w:t xml:space="preserve"> and instead are mestizo or </w:t>
      </w:r>
      <w:proofErr w:type="spellStart"/>
      <w:r w:rsidR="008D240F">
        <w:t>Kichwa</w:t>
      </w:r>
      <w:proofErr w:type="spellEnd"/>
      <w:r w:rsidR="008D240F">
        <w:t xml:space="preserve">. </w:t>
      </w:r>
    </w:p>
    <w:p w14:paraId="28183BD8" w14:textId="4E7D2266" w:rsidR="004A1937" w:rsidRDefault="004A1937" w:rsidP="00CE00E0">
      <w:pPr>
        <w:spacing w:line="480" w:lineRule="auto"/>
        <w:ind w:firstLine="720"/>
      </w:pPr>
      <w:r>
        <w:t>Additionally</w:t>
      </w:r>
      <w:r w:rsidR="00901F7C">
        <w:t xml:space="preserve">, </w:t>
      </w:r>
      <w:r w:rsidR="00B80FBB">
        <w:t xml:space="preserve">although most of the 10 active hunters that are </w:t>
      </w:r>
      <w:proofErr w:type="spellStart"/>
      <w:r w:rsidR="00B80FBB">
        <w:t>Maijuna</w:t>
      </w:r>
      <w:proofErr w:type="spellEnd"/>
      <w:r w:rsidR="00545656">
        <w:t xml:space="preserve"> know of or</w:t>
      </w:r>
      <w:r w:rsidR="00B80FBB">
        <w:t xml:space="preserve"> have heard the traditional </w:t>
      </w:r>
      <w:proofErr w:type="spellStart"/>
      <w:r w:rsidR="00B80FBB">
        <w:t>Maijuna</w:t>
      </w:r>
      <w:proofErr w:type="spellEnd"/>
      <w:r w:rsidR="00B80FBB">
        <w:t xml:space="preserve"> story of the creation of the first tapir, only two (ages 65 and 68) know the story in significant detail and are able to tell it in the </w:t>
      </w:r>
      <w:proofErr w:type="spellStart"/>
      <w:r w:rsidR="00B80FBB">
        <w:t>Maijuna</w:t>
      </w:r>
      <w:proofErr w:type="spellEnd"/>
      <w:r w:rsidR="00B80FBB">
        <w:t xml:space="preserve"> language. </w:t>
      </w:r>
      <w:r>
        <w:t xml:space="preserve">This loss of knowledge and traditional beliefs is significant given that </w:t>
      </w:r>
      <w:r w:rsidR="00B80FBB" w:rsidRPr="00B80FBB">
        <w:t>traditional stories symbolize</w:t>
      </w:r>
      <w:r>
        <w:t xml:space="preserve"> </w:t>
      </w:r>
      <w:r w:rsidR="00B80FBB" w:rsidRPr="00B80FBB">
        <w:t>unity and the creation of shared bonds</w:t>
      </w:r>
      <w:r>
        <w:t xml:space="preserve"> </w:t>
      </w:r>
      <w:r w:rsidR="00D65905">
        <w:t xml:space="preserve">for </w:t>
      </w:r>
      <w:r w:rsidR="00F00611">
        <w:t>I</w:t>
      </w:r>
      <w:r w:rsidR="00D65905">
        <w:t>ndigenous people</w:t>
      </w:r>
      <w:r w:rsidR="00D65905" w:rsidRPr="00B80FBB">
        <w:t xml:space="preserve"> </w:t>
      </w:r>
      <w:r w:rsidR="00A310EF">
        <w:fldChar w:fldCharType="begin"/>
      </w:r>
      <w:r w:rsidR="00010172">
        <w:instrText xml:space="preserve"> ADDIN ZOTERO_ITEM CSL_CITATION {"citationID":"6fgLndOA","properties":{"formattedCitation":"[36]","plainCitation":"[36]","noteIndex":0},"citationItems":[{"id":2167,"uris":["http://zotero.org/users/1105362/items/BJFQNTRF"],"uri":["http://zotero.org/users/1105362/items/BJFQNTRF"],"itemData":{"id":2167,"type":"article-journal","title":"The Growing Voice of Indigenous Peoples: Their Use of Storytelling and Rights Discourse to Transform Multilateral Development Bank Policies","container-title":"Arizona Journal of International and Comparative Law","page":"117","volume":"8","title-short":"The Growing Voice of Indigenous Peoples","journalAbbreviation":"Ariz. J. Int'l &amp; Comp. L.","author":[{"family":"Dallam","given":"H. Elizabeth"}],"issued":{"date-parts":[["1991"]]}}}],"schema":"https://github.com/citation-style-language/schema/raw/master/csl-citation.json"} </w:instrText>
      </w:r>
      <w:r w:rsidR="00A310EF">
        <w:fldChar w:fldCharType="separate"/>
      </w:r>
      <w:r w:rsidR="00010172">
        <w:rPr>
          <w:noProof/>
        </w:rPr>
        <w:t>[36]</w:t>
      </w:r>
      <w:r w:rsidR="00A310EF">
        <w:fldChar w:fldCharType="end"/>
      </w:r>
      <w:r>
        <w:t xml:space="preserve">. </w:t>
      </w:r>
      <w:r w:rsidR="00D65905">
        <w:t>Most traditional stories</w:t>
      </w:r>
      <w:r w:rsidR="0078000A">
        <w:t xml:space="preserve"> help to</w:t>
      </w:r>
      <w:r w:rsidR="00D65905">
        <w:t xml:space="preserve"> provide the ethical and moral foundations on which </w:t>
      </w:r>
      <w:r w:rsidR="00F00611">
        <w:t>I</w:t>
      </w:r>
      <w:r w:rsidR="00D65905">
        <w:t xml:space="preserve">ndigenous cultures are built, document the creation of ancestral lands, and/or disentangle natural events </w:t>
      </w:r>
      <w:r w:rsidR="00A310EF">
        <w:fldChar w:fldCharType="begin"/>
      </w:r>
      <w:r w:rsidR="00010172">
        <w:instrText xml:space="preserve"> ADDIN ZOTERO_ITEM CSL_CITATION {"citationID":"zDnWjdjP","properties":{"formattedCitation":"[37]","plainCitation":"[37]","noteIndex":0},"citationItems":[{"id":2152,"uris":["http://zotero.org/users/1105362/items/EX39P6B5"],"uri":["http://zotero.org/users/1105362/items/EX39P6B5"],"itemData":{"id":2152,"type":"book","title":"Ethnobotany: A methods manual","publisher":"Chapman &amp; Hall","publisher-place":"London","event-place":"London","author":[{"family":"Martin","given":"Gary J."}],"issued":{"date-parts":[["1995"]]}}}],"schema":"https://github.com/citation-style-language/schema/raw/master/csl-citation.json"} </w:instrText>
      </w:r>
      <w:r w:rsidR="00A310EF">
        <w:fldChar w:fldCharType="separate"/>
      </w:r>
      <w:r w:rsidR="00010172">
        <w:rPr>
          <w:noProof/>
        </w:rPr>
        <w:t>[37]</w:t>
      </w:r>
      <w:r w:rsidR="00A310EF">
        <w:fldChar w:fldCharType="end"/>
      </w:r>
      <w:r w:rsidR="00A310EF">
        <w:fldChar w:fldCharType="begin"/>
      </w:r>
      <w:r w:rsidR="00010172">
        <w:instrText xml:space="preserve"> ADDIN ZOTERO_ITEM CSL_CITATION {"citationID":"sfi7SFP2","properties":{"formattedCitation":"[38]","plainCitation":"[38]","noteIndex":0},"citationItems":[{"id":2169,"uris":["http://zotero.org/users/1105362/items/5DFFBQ2C"],"uri":["http://zotero.org/users/1105362/items/5DFFBQ2C"],"itemData":{"id":2169,"type":"chapter","title":"Stepping from the diagram: Australian aboriginal cultural and spiritual values relating to biodiversity","container-title":"Cultural and spiritual values of biodiversity","publisher":"UNEP and Intermediate Technology Publications","publisher-place":"London","page":"103-105","event-place":"London","author":[{"family":"Bennett","given":"D."}],"editor":[{"family":"Posey","given":"Darrell A."}],"issued":{"date-parts":[["1999"]]}}}],"schema":"https://github.com/citation-style-language/schema/raw/master/csl-citation.json"} </w:instrText>
      </w:r>
      <w:r w:rsidR="00A310EF">
        <w:fldChar w:fldCharType="separate"/>
      </w:r>
      <w:r w:rsidR="00010172">
        <w:rPr>
          <w:noProof/>
        </w:rPr>
        <w:t>[38]</w:t>
      </w:r>
      <w:r w:rsidR="00A310EF">
        <w:fldChar w:fldCharType="end"/>
      </w:r>
      <w:r w:rsidR="00D65905">
        <w:t xml:space="preserve">. </w:t>
      </w:r>
      <w:r w:rsidR="00EF5D80">
        <w:t xml:space="preserve">These stories reinforce the connection </w:t>
      </w:r>
      <w:r w:rsidR="00F00611">
        <w:t>I</w:t>
      </w:r>
      <w:r w:rsidR="00EF5D80">
        <w:t xml:space="preserve">ndigenous people have with nature by highlighting the significance of natural resources for the survival of living beings </w:t>
      </w:r>
      <w:r w:rsidR="00FE058F">
        <w:fldChar w:fldCharType="begin"/>
      </w:r>
      <w:r w:rsidR="00010172">
        <w:instrText xml:space="preserve"> ADDIN ZOTERO_ITEM CSL_CITATION {"citationID":"zZrfJzl1","properties":{"formattedCitation":"[39]","plainCitation":"[39]","noteIndex":0},"citationItems":[{"id":2154,"uris":["http://zotero.org/users/1105362/items/GS678L9J"],"uri":["http://zotero.org/users/1105362/items/GS678L9J"],"itemData":{"id":2154,"type":"book","title":"Beyond Intellectual Property: Toward Traditional Resource Rights for Indigenous Peoples and Local Communities","publisher":"IDRC","number-of-pages":"324","source":"Google Books","abstract":"The concept of traditional resource rights (TRR) reflects the necessity of rethinking the limited and limiting concept of intellectual property rights (IPR). The TRR concept can accommodate a wide range of relevant international agreements as a basis for a sui-generis system of protection for indigenous peoples and their intellectual, natural, and technological resources. This book introduces the TRR concept in a manner organised around a series of questions that might emerge in a community when a visitor arrives to collect information or cultural or biogenetic materials. Each chapter begins with a summary of the main issues it addresses and ends with options and suggested actions. Issues discussed include who benefits from traditional resources, the rights of communities to approve or resist commercialisation, types of potential legal action, the applicability of traditional IPR, development of community systems for protecting TRR, the use of binding or non-binding international agreements, and TRR funding. Examples are included of creative strategies and unique solutions that indigenous communities have developed for protecting and benefiting from TRR.","ISBN":"978-0-88936-799-9","note":"Google-Books-ID: HZJ6KPQBc_EC","title-short":"Beyond Intellectual Property","language":"en","author":[{"family":"Posey","given":"Darrell Addison"},{"family":"Dutfield","given":"Graham"},{"family":"Centre (Canada)","given":"International Development Research"}],"issued":{"date-parts":[["1996"]]}}}],"schema":"https://github.com/citation-style-language/schema/raw/master/csl-citation.json"} </w:instrText>
      </w:r>
      <w:r w:rsidR="00FE058F">
        <w:fldChar w:fldCharType="separate"/>
      </w:r>
      <w:r w:rsidR="00010172">
        <w:rPr>
          <w:noProof/>
        </w:rPr>
        <w:t>[39]</w:t>
      </w:r>
      <w:r w:rsidR="00FE058F">
        <w:fldChar w:fldCharType="end"/>
      </w:r>
      <w:r w:rsidR="00FE058F">
        <w:fldChar w:fldCharType="begin"/>
      </w:r>
      <w:r w:rsidR="00010172">
        <w:instrText xml:space="preserve"> ADDIN ZOTERO_ITEM CSL_CITATION {"citationID":"6Piz4LXR","properties":{"formattedCitation":"[40]","plainCitation":"[40]","noteIndex":0},"citationItems":[{"id":2170,"uris":["http://zotero.org/users/1105362/items/BF65QD9E"],"uri":["http://zotero.org/users/1105362/items/BF65QD9E"],"itemData":{"id":2170,"type":"article-journal","title":"Indigenous knowledge, peoples and sustainable practice","container-title":"Encyclopedia of Global Environmental Change","page":"314-324","volume":"5","author":[{"family":"Nakashima","given":"D."},{"family":"Roué","given":"M."}],"issued":{"date-parts":[["2002"]]}}}],"schema":"https://github.com/citation-style-language/schema/raw/master/csl-citation.json"} </w:instrText>
      </w:r>
      <w:r w:rsidR="00FE058F">
        <w:fldChar w:fldCharType="separate"/>
      </w:r>
      <w:r w:rsidR="00010172">
        <w:t>[40]</w:t>
      </w:r>
      <w:r w:rsidR="00FE058F">
        <w:fldChar w:fldCharType="end"/>
      </w:r>
      <w:r w:rsidR="00EF5D80">
        <w:t xml:space="preserve">. </w:t>
      </w:r>
      <w:r>
        <w:t xml:space="preserve">The </w:t>
      </w:r>
      <w:proofErr w:type="spellStart"/>
      <w:r w:rsidR="00D65905">
        <w:t>Maijuna</w:t>
      </w:r>
      <w:proofErr w:type="spellEnd"/>
      <w:r w:rsidR="00D65905">
        <w:t xml:space="preserve"> </w:t>
      </w:r>
      <w:r>
        <w:t xml:space="preserve">traditional story </w:t>
      </w:r>
      <w:r w:rsidR="00D65905">
        <w:t>of</w:t>
      </w:r>
      <w:r>
        <w:t xml:space="preserve"> the creation of the first tapir </w:t>
      </w:r>
      <w:r w:rsidR="00D65905">
        <w:t>helps to explain not only the origin of this important game species but also a culturally significant habitat and hunting site</w:t>
      </w:r>
      <w:r w:rsidR="00EF5D80">
        <w:t xml:space="preserve"> that they depend on</w:t>
      </w:r>
      <w:r w:rsidR="003B02C7">
        <w:t xml:space="preserve"> for sustenance and survival</w:t>
      </w:r>
      <w:r w:rsidR="00D65905">
        <w:t xml:space="preserve">. </w:t>
      </w:r>
      <w:r w:rsidR="00610B6F">
        <w:t xml:space="preserve">Additionally, the duality of animals and people in this story may represent the measured use of wildlife through cultural beliefs and traditions, a form of adaptive management of wildlife populations </w:t>
      </w:r>
      <w:r w:rsidR="00B04A17">
        <w:fldChar w:fldCharType="begin"/>
      </w:r>
      <w:r w:rsidR="00B04A17">
        <w:instrText xml:space="preserve"> ADDIN ZOTERO_ITEM CSL_CITATION {"citationID":"RFetJ8LE","properties":{"formattedCitation":"[41]","plainCitation":"[41]","noteIndex":0},"citationItems":[{"id":2181,"uris":["http://zotero.org/users/1105362/items/X5K3DCUU"],"uri":["http://zotero.org/users/1105362/items/X5K3DCUU"],"itemData":{"id":2181,"type":"article-journal","title":"Rediscovery of traditional ecological knowledge as adaptive management","container-title":"Ecological applications","page":"1251–1262","volume":"10","issue":"5","source":"Google Scholar","author":[{"family":"Berkes","given":"Fikret"},{"family":"Colding","given":"Johan"},{"family":"Folke","given":"Carl"}],"issued":{"date-parts":[["2000"]]}}}],"schema":"https://github.com/citation-style-language/schema/raw/master/csl-citation.json"} </w:instrText>
      </w:r>
      <w:r w:rsidR="00B04A17">
        <w:fldChar w:fldCharType="separate"/>
      </w:r>
      <w:r w:rsidR="00B04A17">
        <w:rPr>
          <w:noProof/>
        </w:rPr>
        <w:t>[41]</w:t>
      </w:r>
      <w:r w:rsidR="00B04A17">
        <w:fldChar w:fldCharType="end"/>
      </w:r>
      <w:r w:rsidR="00B04A17">
        <w:fldChar w:fldCharType="begin"/>
      </w:r>
      <w:r w:rsidR="00B04A17">
        <w:instrText xml:space="preserve"> ADDIN ZOTERO_ITEM CSL_CITATION {"citationID":"HWoQUiY9","properties":{"formattedCitation":"[42]","plainCitation":"[42]","noteIndex":0},"citationItems":[{"id":2184,"uris":["http://zotero.org/users/1105362/items/AJUUK888"],"uri":["http://zotero.org/users/1105362/items/AJUUK888"],"itemData":{"id":2184,"type":"book","title":"Linking social and ecological systems: management practices and social mechanisms for building resilience","publisher":"Cambridge University Press","source":"Google Scholar","title-short":"Linking social and ecological systems","author":[{"family":"Berkes","given":"Fikret"},{"family":"Folke","given":"Carl"},{"family":"Colding","given":"Johan"}],"issued":{"date-parts":[["2000"]]}}}],"schema":"https://github.com/citation-style-language/schema/raw/master/csl-citation.json"} </w:instrText>
      </w:r>
      <w:r w:rsidR="00B04A17">
        <w:fldChar w:fldCharType="separate"/>
      </w:r>
      <w:r w:rsidR="00B04A17">
        <w:rPr>
          <w:noProof/>
        </w:rPr>
        <w:t>[42]</w:t>
      </w:r>
      <w:r w:rsidR="00B04A17">
        <w:fldChar w:fldCharType="end"/>
      </w:r>
      <w:r w:rsidR="00610B6F">
        <w:t>.</w:t>
      </w:r>
    </w:p>
    <w:p w14:paraId="1099FF58" w14:textId="384CF4C1" w:rsidR="004A1937" w:rsidRDefault="004A1937" w:rsidP="00CE00E0">
      <w:pPr>
        <w:spacing w:line="480" w:lineRule="auto"/>
      </w:pPr>
    </w:p>
    <w:p w14:paraId="6933F8BE" w14:textId="760365AA" w:rsidR="001E293F" w:rsidRDefault="001E293F" w:rsidP="00CE00E0">
      <w:pPr>
        <w:spacing w:line="480" w:lineRule="auto"/>
        <w:rPr>
          <w:b/>
          <w:bCs/>
        </w:rPr>
      </w:pPr>
      <w:r>
        <w:rPr>
          <w:b/>
          <w:bCs/>
        </w:rPr>
        <w:lastRenderedPageBreak/>
        <w:t xml:space="preserve">Conclusions </w:t>
      </w:r>
    </w:p>
    <w:p w14:paraId="003A459E" w14:textId="172DFF2C" w:rsidR="00EC55AF" w:rsidRDefault="00EC55AF" w:rsidP="00CE00E0">
      <w:pPr>
        <w:spacing w:line="480" w:lineRule="auto"/>
      </w:pPr>
    </w:p>
    <w:p w14:paraId="2E4A472B" w14:textId="01B0ED72" w:rsidR="00125C38" w:rsidRDefault="00125C38" w:rsidP="00CE00E0">
      <w:pPr>
        <w:spacing w:line="480" w:lineRule="auto"/>
        <w:ind w:firstLine="720"/>
      </w:pPr>
      <w:r>
        <w:t xml:space="preserve">Through interviews, focus groups, and participatory mapping we were able to gain a comprehensive understanding </w:t>
      </w:r>
      <w:r w:rsidR="00CB49BD">
        <w:t xml:space="preserve">of the importance of mineral licks to the </w:t>
      </w:r>
      <w:proofErr w:type="spellStart"/>
      <w:r w:rsidR="00CB49BD">
        <w:t>Maijuna</w:t>
      </w:r>
      <w:proofErr w:type="spellEnd"/>
      <w:r w:rsidR="00CB49BD">
        <w:t xml:space="preserve">. </w:t>
      </w:r>
      <w:r w:rsidR="004521F6">
        <w:t>M</w:t>
      </w:r>
      <w:r w:rsidR="00CB49BD">
        <w:t xml:space="preserve">ineral licks </w:t>
      </w:r>
      <w:r w:rsidR="004521F6">
        <w:t xml:space="preserve">are </w:t>
      </w:r>
      <w:r w:rsidR="00CB49BD">
        <w:t>important hunting areas for both subsistence and income generation</w:t>
      </w:r>
      <w:r w:rsidR="00ED2C5D">
        <w:t>,</w:t>
      </w:r>
      <w:r w:rsidR="004521F6">
        <w:t xml:space="preserve"> and their </w:t>
      </w:r>
      <w:r w:rsidR="00ED2C5D">
        <w:t>spatial use across the landscape is</w:t>
      </w:r>
      <w:r w:rsidR="004521F6">
        <w:t xml:space="preserve"> </w:t>
      </w:r>
      <w:r w:rsidR="00ED2C5D">
        <w:t>determined</w:t>
      </w:r>
      <w:r w:rsidR="004521F6">
        <w:t xml:space="preserve"> </w:t>
      </w:r>
      <w:r w:rsidR="007162C2">
        <w:t>on the</w:t>
      </w:r>
      <w:r w:rsidR="004521F6">
        <w:t xml:space="preserve"> family</w:t>
      </w:r>
      <w:r w:rsidR="007162C2">
        <w:t xml:space="preserve"> level</w:t>
      </w:r>
      <w:r w:rsidR="004521F6">
        <w:t>. Additionally, the</w:t>
      </w:r>
      <w:r w:rsidR="00CB49BD">
        <w:t xml:space="preserve"> classification and naming </w:t>
      </w:r>
      <w:r w:rsidR="004521F6">
        <w:t xml:space="preserve">of licks </w:t>
      </w:r>
      <w:r w:rsidR="00CB49BD">
        <w:t>as well as traditional beliefs about them further highlights their socio-cultural significan</w:t>
      </w:r>
      <w:r w:rsidR="004521F6">
        <w:t>ce</w:t>
      </w:r>
      <w:r w:rsidR="00CB49BD">
        <w:t xml:space="preserve"> to the </w:t>
      </w:r>
      <w:proofErr w:type="spellStart"/>
      <w:r w:rsidR="00CB49BD">
        <w:t>Maijuna</w:t>
      </w:r>
      <w:proofErr w:type="spellEnd"/>
      <w:r w:rsidR="00CB49BD">
        <w:t xml:space="preserve">. </w:t>
      </w:r>
      <w:r w:rsidR="0012260F">
        <w:t xml:space="preserve">Learning </w:t>
      </w:r>
      <w:proofErr w:type="gramStart"/>
      <w:r w:rsidR="0012260F">
        <w:t>all of</w:t>
      </w:r>
      <w:proofErr w:type="gramEnd"/>
      <w:r w:rsidR="00C31156">
        <w:t xml:space="preserve"> this information is </w:t>
      </w:r>
      <w:r w:rsidR="00E85978">
        <w:t>a</w:t>
      </w:r>
      <w:r w:rsidR="006662E7">
        <w:t xml:space="preserve">n essential </w:t>
      </w:r>
      <w:r w:rsidR="00E85978">
        <w:t xml:space="preserve">first step </w:t>
      </w:r>
      <w:r w:rsidR="00C31156">
        <w:t xml:space="preserve">for the development of community-based management plans for mineral licks in the MKRCA that incorporate and account for the multiple cultural and economic needs of the </w:t>
      </w:r>
      <w:proofErr w:type="spellStart"/>
      <w:r w:rsidR="00C31156">
        <w:t>Maijuna</w:t>
      </w:r>
      <w:proofErr w:type="spellEnd"/>
      <w:r w:rsidR="00C31156">
        <w:t xml:space="preserve"> while also striving toward ecological </w:t>
      </w:r>
      <w:r w:rsidR="004521F6">
        <w:t>sustainability</w:t>
      </w:r>
      <w:r w:rsidR="00C31156">
        <w:t xml:space="preserve">. </w:t>
      </w:r>
      <w:r w:rsidR="00E85978">
        <w:t xml:space="preserve">Next steps </w:t>
      </w:r>
      <w:r w:rsidR="0063335E">
        <w:t xml:space="preserve">could include </w:t>
      </w:r>
      <w:r w:rsidR="00DF263A">
        <w:t xml:space="preserve">large-scale monitoring of wildlife use of licks, </w:t>
      </w:r>
      <w:r w:rsidR="0063335E">
        <w:t>examining the impact</w:t>
      </w:r>
      <w:r w:rsidR="00DF263A">
        <w:t>s</w:t>
      </w:r>
      <w:r w:rsidR="0063335E">
        <w:t xml:space="preserve"> of hunting at mineral licks</w:t>
      </w:r>
      <w:r w:rsidR="00DF263A">
        <w:t xml:space="preserve"> on wildlife</w:t>
      </w:r>
      <w:r w:rsidR="0063335E">
        <w:t xml:space="preserve">, </w:t>
      </w:r>
      <w:r w:rsidR="008735AF">
        <w:t xml:space="preserve">and </w:t>
      </w:r>
      <w:r w:rsidR="0063335E" w:rsidRPr="00231413">
        <w:t>assess</w:t>
      </w:r>
      <w:r w:rsidR="0063335E">
        <w:t>ing</w:t>
      </w:r>
      <w:r w:rsidR="0063335E" w:rsidRPr="00231413">
        <w:t xml:space="preserve"> the potential of working with local communities to protect licks as a strategy to manage hunting and conserve wildlife populations</w:t>
      </w:r>
      <w:r w:rsidR="008735AF">
        <w:t>.</w:t>
      </w:r>
      <w:r w:rsidR="008735AF" w:rsidRPr="00231413">
        <w:t xml:space="preserve"> </w:t>
      </w:r>
      <w:r w:rsidR="008735AF">
        <w:t xml:space="preserve">Such management strategies are likely to be similarly useful across the wider Amazon </w:t>
      </w:r>
      <w:r w:rsidR="002E2792">
        <w:t>b</w:t>
      </w:r>
      <w:r w:rsidR="008735AF">
        <w:t>asin, where mineral licks are also of considerable cultural and economic importance</w:t>
      </w:r>
      <w:r w:rsidR="001234B2">
        <w:t xml:space="preserve"> as hunting sites</w:t>
      </w:r>
      <w:r w:rsidR="008735AF">
        <w:t xml:space="preserve"> </w:t>
      </w:r>
      <w:r w:rsidR="00884404">
        <w:fldChar w:fldCharType="begin"/>
      </w:r>
      <w:r w:rsidR="00FD52E5">
        <w:instrText xml:space="preserve"> ADDIN ZOTERO_ITEM CSL_CITATION {"citationID":"P2IyQC8a","properties":{"formattedCitation":"[10]","plainCitation":"[10]","noteIndex":0},"citationItems":[{"id":2100,"uris":["http://zotero.org/users/1105362/items/2PDG5FXK"],"uri":["http://zotero.org/users/1105362/items/2PDG5FXK"],"itemData":{"id":2100,"type":"book","title":"Natural licks as keystone resources for wildlife and people in Amazonia","publisher":"University of Florida","source":"Google Scholar","author":[{"family":"Montenegro","given":"Olga Lucia"}],"issued":{"date-parts":[["2004"]]}}}],"schema":"https://github.com/citation-style-language/schema/raw/master/csl-citation.json"} </w:instrText>
      </w:r>
      <w:r w:rsidR="00884404">
        <w:fldChar w:fldCharType="separate"/>
      </w:r>
      <w:r w:rsidR="00FD52E5">
        <w:rPr>
          <w:noProof/>
        </w:rPr>
        <w:t>[10]</w:t>
      </w:r>
      <w:r w:rsidR="00884404">
        <w:fldChar w:fldCharType="end"/>
      </w:r>
      <w:r w:rsidR="00884404">
        <w:fldChar w:fldCharType="begin"/>
      </w:r>
      <w:r w:rsidR="00FD52E5">
        <w:instrText xml:space="preserve"> ADDIN ZOTERO_ITEM CSL_CITATION {"citationID":"lJ5fDEkv","properties":{"formattedCitation":"[8]","plainCitation":"[8]","noteIndex":0},"citationItems":[{"id":2094,"uris":["http://zotero.org/users/1105362/items/AXLH6MFY"],"uri":["http://zotero.org/users/1105362/items/AXLH6MFY"],"itemData":{"id":2094,"type":"article-journal","title":"Habitat use, activity patterns and use of mineral licks by five species of ungulate in south-eastern Peru","container-title":"Journal of Tropical Ecology","page":"261–270","volume":"25","issue":"3","source":"Google Scholar","author":[{"family":"Tobler","given":"Mathias W."},{"family":"Carrillo-Percastegui","given":"Samia E."},{"family":"Powell","given":"George"}],"issued":{"date-parts":[["2009"]]}}}],"schema":"https://github.com/citation-style-language/schema/raw/master/csl-citation.json"} </w:instrText>
      </w:r>
      <w:r w:rsidR="00884404">
        <w:fldChar w:fldCharType="separate"/>
      </w:r>
      <w:r w:rsidR="00FD52E5">
        <w:rPr>
          <w:noProof/>
        </w:rPr>
        <w:t>[8]</w:t>
      </w:r>
      <w:r w:rsidR="00884404">
        <w:fldChar w:fldCharType="end"/>
      </w:r>
      <w:r w:rsidR="008735AF">
        <w:rPr>
          <w:rFonts w:eastAsia="Times New Roman"/>
          <w:iCs/>
        </w:rPr>
        <w:t>.</w:t>
      </w:r>
      <w:r w:rsidR="008735AF">
        <w:t xml:space="preserve"> </w:t>
      </w:r>
      <w:r w:rsidR="0063335E" w:rsidRPr="00231413">
        <w:t xml:space="preserve"> </w:t>
      </w:r>
    </w:p>
    <w:p w14:paraId="4B4C6376" w14:textId="319D8284" w:rsidR="00392A24" w:rsidRPr="00392A24" w:rsidRDefault="00392A24" w:rsidP="00CE00E0">
      <w:pPr>
        <w:spacing w:line="480" w:lineRule="auto"/>
        <w:ind w:firstLine="720"/>
      </w:pPr>
      <w:r w:rsidRPr="00392A24">
        <w:t xml:space="preserve">Traditional and current </w:t>
      </w:r>
      <w:proofErr w:type="spellStart"/>
      <w:r w:rsidRPr="00392A24">
        <w:t>Maijuna</w:t>
      </w:r>
      <w:proofErr w:type="spellEnd"/>
      <w:r w:rsidRPr="00392A24">
        <w:t xml:space="preserve"> hunting conventions, in which families maintain exclusive use of selected mineral licks, and exclude access by other hunters, likely reduces the probability of overexploitation, especially w</w:t>
      </w:r>
      <w:r w:rsidR="00676A79">
        <w:t>h</w:t>
      </w:r>
      <w:r w:rsidRPr="00392A24">
        <w:t>ere hunting is for subsistence rather than commercial</w:t>
      </w:r>
      <w:r w:rsidR="00397C3C">
        <w:t xml:space="preserve"> purposes</w:t>
      </w:r>
      <w:r w:rsidRPr="00392A24">
        <w:t xml:space="preserve">. Where </w:t>
      </w:r>
      <w:r w:rsidR="00F00611">
        <w:t>I</w:t>
      </w:r>
      <w:r w:rsidRPr="00392A24">
        <w:t>ndigenous or local people do not have ownership</w:t>
      </w:r>
      <w:r w:rsidR="000A5649">
        <w:t xml:space="preserve"> and </w:t>
      </w:r>
      <w:r w:rsidRPr="00392A24">
        <w:t xml:space="preserve">control of their hunting grounds, more frequent use of mineral licks by more hunters may occur, increasing the chances of over extraction of wild species. Indigenous </w:t>
      </w:r>
      <w:r w:rsidR="000A5649">
        <w:t xml:space="preserve">land </w:t>
      </w:r>
      <w:r w:rsidRPr="00392A24">
        <w:t>title, and the right to restrict access to hunting grounds are key to tackling overhunting in Amazonia</w:t>
      </w:r>
      <w:r>
        <w:t>.</w:t>
      </w:r>
    </w:p>
    <w:p w14:paraId="4B7BD67C" w14:textId="510B9D04" w:rsidR="00125C38" w:rsidRDefault="00ED2C5D" w:rsidP="00CE00E0">
      <w:pPr>
        <w:spacing w:line="480" w:lineRule="auto"/>
        <w:ind w:firstLine="720"/>
      </w:pPr>
      <w:r>
        <w:lastRenderedPageBreak/>
        <w:t xml:space="preserve">Although it was found that traditional knowledge and beliefs about mineral licks is in </w:t>
      </w:r>
      <w:r w:rsidR="00E85978">
        <w:t>steep</w:t>
      </w:r>
      <w:r>
        <w:t xml:space="preserve"> decline, the </w:t>
      </w:r>
      <w:proofErr w:type="spellStart"/>
      <w:r>
        <w:t>Maijuna</w:t>
      </w:r>
      <w:proofErr w:type="spellEnd"/>
      <w:r>
        <w:t xml:space="preserve"> still remain deeply connected to their ancestral lands and rely heavily on licks and their associated game species. The role and importance of </w:t>
      </w:r>
      <w:r w:rsidR="00F00611">
        <w:t>I</w:t>
      </w:r>
      <w:r>
        <w:t xml:space="preserve">ndigenous people in conservation is increasing </w:t>
      </w:r>
      <w:r w:rsidR="00B22062">
        <w:fldChar w:fldCharType="begin"/>
      </w:r>
      <w:r w:rsidR="00B04A17">
        <w:instrText xml:space="preserve"> ADDIN ZOTERO_ITEM CSL_CITATION {"citationID":"3bB3ybgt","properties":{"formattedCitation":"[43]","plainCitation":"[43]","noteIndex":0},"citationItems":[{"id":2165,"uris":["http://zotero.org/users/1105362/items/TJPRV8S6"],"uri":["http://zotero.org/users/1105362/items/TJPRV8S6"],"itemData":{"id":2165,"type":"article-journal","title":"Forest-Dwelling Native Amazonians and the Conservation of Biodiversity: Interests in Common or in Collision?","container-title":"Conservation Biology","page":"248-255","volume":"7","issue":"2","source":"conbio.onlinelibrary.wiley.com (Atypon)","abstract":"Although concern for biodiversity and its conservation originated in the biological sciences, with growing international interest an increasing number of interest groups are claiming standing in discussions of the best ways to conserve biodiversity. One of these groups, formed by various indigenous peoples and their advocates, has repeatedly defended its claim to standing by stating that indigenous peoples are well equipped to conserve biodiversity. These claims have had far-reaching consequences, as millions of hectares of Amazonian forest have been deeded to indigenous groups, at least partially on the reasoning that such actions would conserve biodiversity. In this paper, we bring to the attention of the community of conservation biologists a group representing 229 native Amazonian groups comprising 1.2 million people in Peru, Bolivia, Ecuador, Brazil, and Colombia. In a document entitled ?To the Community of Concerned Environmentalists,? this group of indigenous peoples proposes a broad template for cooperation between conservation biologists and the indigenous peoples of the Amazon Basin. Following reiteration of the statement, we discuss the fact that these two groups define biodiversity and its conservation in different ways, with indigenous peoples focusing more on preservation of general habitat characteristics and exclusion of extensive habitat alteration. We conclude that the interests of conservation biologists may not be completely compatible with the agenda of indigenous peoples and their advocates but that by cooperating valuable time is being bought by both sides.","DOI":"10.1046/j.1523-1739.1993.07020248.x","ISSN":"0888-8892","title-short":"Forest-Dwelling Native Amazonians and the Conservation of Biodiversity","journalAbbreviation":"Conservation Biology","author":[{"family":"Redford","given":"Kent H."},{"family":"Stearman","given":"Allyn Maclean"}],"issued":{"date-parts":[["1993",6,1]]}}}],"schema":"https://github.com/citation-style-language/schema/raw/master/csl-citation.json"} </w:instrText>
      </w:r>
      <w:r w:rsidR="00B22062">
        <w:fldChar w:fldCharType="separate"/>
      </w:r>
      <w:r w:rsidR="00B04A17">
        <w:rPr>
          <w:noProof/>
        </w:rPr>
        <w:t>[43]</w:t>
      </w:r>
      <w:r w:rsidR="00B22062">
        <w:fldChar w:fldCharType="end"/>
      </w:r>
      <w:r w:rsidR="00B22062">
        <w:fldChar w:fldCharType="begin"/>
      </w:r>
      <w:r w:rsidR="00B04A17">
        <w:instrText xml:space="preserve"> ADDIN ZOTERO_ITEM CSL_CITATION {"citationID":"mp1ATzdU","properties":{"formattedCitation":"[44]","plainCitation":"[44]","noteIndex":0},"citationItems":[{"id":2163,"uris":["http://zotero.org/users/1105362/items/ZT3EP6TD"],"uri":["http://zotero.org/users/1105362/items/ZT3EP6TD"],"itemData":{"id":2163,"type":"article-journal","title":"Integrating traditional and local ecological knowledge into forest biodiversity conservation in the Pacific Northwest","container-title":"Forest Ecology and Management","collection-title":"Biodiversity Management in Pacific Northwest Forests: Strategies and Opportunities.","page":"14-28","volume":"246","issue":"1","source":"ScienceDirect","abstract":"The potential for traditional and local ecological knowledge to contribute to biodiversity conservation has been widely recognized, but the actual application of this knowledge to biodiversity conservation is not easy. This paper synthesizes literature about traditional and local ecological knowledge and forest management in the Pacific Northwest to evaluate what is needed to accomplish this goal. We address three topics: (1) views and values people have relating to biodiversity; (2) the resource use and management practices of local forest users, and their effects on biodiversity; (3) models for integrating traditional and local ecological knowledge into biodiversity conservation on public and private lands. We focus on the ecological knowledge of forest users belonging to three groups who inhabit the region: American Indians, family forest owners, and commercial nontimber forest product harvesters. We argue that integrating traditional and local ecological knowledge into forest biodiversity conservation is most likely to be successful if the knowledge holders are directly engaged as active participants in these efforts. Although several promising models exist for how to integrate traditional and local ecological knowledge into forest management, a number of social, economic, and policy constraints have prevented this knowledge from flourishing and being applied. These constraints should be addressed alongside any strategy for knowledge integration. Also needed is more information about how different groups of forest practitioners are currently implementing traditional and local ecological knowledge in forest use and management, and what the ecological outcomes are with regard to biodiversity.","DOI":"10.1016/j.foreco.2007.03.047","ISSN":"0378-1127","journalAbbreviation":"Forest Ecology and Management","language":"en","author":[{"family":"Charnley","given":"Susan"},{"family":"Fischer","given":"A. Paige"},{"family":"Jones","given":"Eric T."}],"issued":{"date-parts":[["2007",7,16]]}}}],"schema":"https://github.com/citation-style-language/schema/raw/master/csl-citation.json"} </w:instrText>
      </w:r>
      <w:r w:rsidR="00B22062">
        <w:fldChar w:fldCharType="separate"/>
      </w:r>
      <w:r w:rsidR="00B04A17">
        <w:rPr>
          <w:noProof/>
        </w:rPr>
        <w:t>[44]</w:t>
      </w:r>
      <w:r w:rsidR="00B22062">
        <w:fldChar w:fldCharType="end"/>
      </w:r>
      <w:r w:rsidR="00B22062">
        <w:fldChar w:fldCharType="begin"/>
      </w:r>
      <w:r w:rsidR="00B04A17">
        <w:instrText xml:space="preserve"> ADDIN ZOTERO_ITEM CSL_CITATION {"citationID":"8UUckIlB","properties":{"formattedCitation":"[45]","plainCitation":"[45]","noteIndex":0},"citationItems":[{"id":2160,"uris":["http://zotero.org/users/1105362/items/L2N36W6F"],"uri":["http://zotero.org/users/1105362/items/L2N36W6F"],"itemData":{"id":2160,"type":"article-journal","title":"Local and scientific knowledge for assessing the use of fallows and mature forest by large mammals in SE Brazil: identifying singularities in folkecology","container-title":"Journal of Ethnobiology and Ethnomedicine","page":"7","volume":"10","issue":"1","source":"BioMed Central","abstract":"Local ecological knowledge (LEK) has been discussed in terms of its similarities to and its potential to complement normative scientific knowledge. In this study, we compared the knowledge of a Brazilian quilombola population regarding the habitat use and life habits of large mammals with in situ recordings of the species. We also tested the hypothesis that quilombola LEK has a special focus on the anthropogenic portion of the landscape.","DOI":"10.1186/1746-4269-10-7","ISSN":"1746-4269","title-short":"Local and scientific knowledge for assessing the use of fallows and mature forest by large mammals in SE Brazil","journalAbbreviation":"Journal of Ethnobiology and Ethnomedicine","author":[{"family":"Prado","given":"Helbert Medeiros"},{"family":"Murrieta","given":"Rui Sérgio Sereni"},{"family":"Adams","given":"Cristina"},{"family":"Brondizio","given":"Eduardo Sonnewend"}],"issued":{"date-parts":[["2014",1,10]]}}}],"schema":"https://github.com/citation-style-language/schema/raw/master/csl-citation.json"} </w:instrText>
      </w:r>
      <w:r w:rsidR="00B22062">
        <w:fldChar w:fldCharType="separate"/>
      </w:r>
      <w:r w:rsidR="00B04A17">
        <w:rPr>
          <w:noProof/>
        </w:rPr>
        <w:t>[45]</w:t>
      </w:r>
      <w:r w:rsidR="00B22062">
        <w:fldChar w:fldCharType="end"/>
      </w:r>
      <w:r w:rsidR="00B22062">
        <w:fldChar w:fldCharType="begin"/>
      </w:r>
      <w:r w:rsidR="00B04A17">
        <w:instrText xml:space="preserve"> ADDIN ZOTERO_ITEM CSL_CITATION {"citationID":"O8y1VPkq","properties":{"formattedCitation":"[46]","plainCitation":"[46]","noteIndex":0},"citationItems":[{"id":2159,"uris":["http://zotero.org/users/1105362/items/3KAX4K3F"],"uri":["http://zotero.org/users/1105362/items/3KAX4K3F"],"itemData":{"id":2159,"type":"article-journal","title":"Evaluating the use of local ecological knowledge to monitor hunted tropical-forest wildlife over large spatial scales","container-title":"Ecology and Society","volume":"20","issue":"3","source":"JSTOR","archive":"JSTOR","abstract":"ABSTRACT. Monitoring the distribution and abundance of hunted wildlife is critical to achieving sustainable resource use, yet adequate data are sparse for most tropical regions. Conventional methods for monitoring hunted forest-vertebrate species require intensive in situ survey effort, which severely constrains spatial and temporal replication. Integrating local ecological knowledge (LEK) into monitoring and management is appealing because it can be cost-effective, enhance community participation, and provide novel insights into sustainable resource use. We develop a technique to monitor population depletion of hunted forest wildlife in the Brazilian Amazon, based on the local ecological knowledge of rural hunters. We performed rapid interview surveys to estimate the landscape-scale depletion of ten large-bodied vertebrate species around 161 Amazonian riverine settlements. We assessed the explanatory and predictive power of settlement and landscape characteristics and were able to develop robust estimates of local faunal depletion. By identifying species-specific drivers of depletion and using secondary data on human population density, land form, and physical accessibility, we then estimated landscape- and regional-scale depletion. White-lipped peccary (Tayassu pecari), for example, were estimated to be absent from 17% of their putative range in Brazil’s largest state (Amazonas), despite 98% of the original forest cover remaining intact. We found evidence that bushmeat consumption in small urban centers has far-reaching impacts on some forest species, including severe depletion well over 100 km from urban centers. We conclude that LEK-based approaches require further field validation, but have significant potential for community-based participatory monitoring as well as cost-effective, large-scale monitoring of threatened forest species.","URL":"https://www.jstor.org/stable/26270233","ISSN":"1708-3087","author":[{"family":"Parry","given":"Luke"},{"family":"Peres","given":"Carlos A."}],"issued":{"date-parts":[["2015"]]},"accessed":{"date-parts":[["2020",5,8]]}}}],"schema":"https://github.com/citation-style-language/schema/raw/master/csl-citation.json"} </w:instrText>
      </w:r>
      <w:r w:rsidR="00B22062">
        <w:fldChar w:fldCharType="separate"/>
      </w:r>
      <w:r w:rsidR="00B04A17">
        <w:rPr>
          <w:noProof/>
        </w:rPr>
        <w:t>[46]</w:t>
      </w:r>
      <w:r w:rsidR="00B22062">
        <w:fldChar w:fldCharType="end"/>
      </w:r>
      <w:r>
        <w:t xml:space="preserve">, which is demonstrated by the key role of the </w:t>
      </w:r>
      <w:proofErr w:type="spellStart"/>
      <w:r>
        <w:t>Maijuna</w:t>
      </w:r>
      <w:proofErr w:type="spellEnd"/>
      <w:r>
        <w:t xml:space="preserve"> in </w:t>
      </w:r>
      <w:r w:rsidR="00696DF4">
        <w:t xml:space="preserve">not only the creation of the </w:t>
      </w:r>
      <w:r>
        <w:t xml:space="preserve">MKRCA </w:t>
      </w:r>
      <w:r w:rsidR="00696DF4">
        <w:t>but the ongoing management of this heavily forested and biodiverse area. As community-based management plans for mineral licks and associated game species are developed</w:t>
      </w:r>
      <w:r w:rsidR="00DF43F9">
        <w:t xml:space="preserve"> for the MKRCA</w:t>
      </w:r>
      <w:r w:rsidR="00696DF4">
        <w:t xml:space="preserve">, it is critical that these efforts </w:t>
      </w:r>
      <w:r w:rsidR="00510F1A">
        <w:t xml:space="preserve">also </w:t>
      </w:r>
      <w:r w:rsidR="00F33A0F">
        <w:t>address</w:t>
      </w:r>
      <w:r w:rsidR="00696DF4">
        <w:t xml:space="preserve"> the conservation and revitalization of traditional knowledge and beliefs about these areas</w:t>
      </w:r>
      <w:r w:rsidR="00252D4D">
        <w:t xml:space="preserve">. This would </w:t>
      </w:r>
      <w:r w:rsidR="0063335E">
        <w:t>help to</w:t>
      </w:r>
      <w:r w:rsidR="00252D4D">
        <w:t xml:space="preserve"> ensure that both the biological and cultural significance of </w:t>
      </w:r>
      <w:r w:rsidR="00DF43F9">
        <w:t>mineral licks</w:t>
      </w:r>
      <w:r w:rsidR="00252D4D">
        <w:t xml:space="preserve"> to the </w:t>
      </w:r>
      <w:proofErr w:type="spellStart"/>
      <w:r w:rsidR="00252D4D">
        <w:t>Maijuna</w:t>
      </w:r>
      <w:proofErr w:type="spellEnd"/>
      <w:r w:rsidR="00252D4D">
        <w:t xml:space="preserve"> </w:t>
      </w:r>
      <w:r w:rsidR="0063335E">
        <w:t>are</w:t>
      </w:r>
      <w:r w:rsidR="00252D4D">
        <w:t xml:space="preserve"> being </w:t>
      </w:r>
      <w:r w:rsidR="00F33A0F">
        <w:t>targeted</w:t>
      </w:r>
      <w:r w:rsidR="00252D4D">
        <w:t xml:space="preserve">. Given their ecological importance, status as “resource islands”, and the traditional beliefs about them, mineral licks in </w:t>
      </w:r>
      <w:proofErr w:type="spellStart"/>
      <w:r w:rsidR="00252D4D">
        <w:t>Maijuna</w:t>
      </w:r>
      <w:proofErr w:type="spellEnd"/>
      <w:r w:rsidR="00252D4D">
        <w:t xml:space="preserve"> lands are complex biocultural systems and need to be managed in a holistic and integrative manner. </w:t>
      </w:r>
      <w:r w:rsidR="0075391D">
        <w:t>Management plans that build on and strengthen tradition</w:t>
      </w:r>
      <w:r w:rsidR="00902E43">
        <w:t>al</w:t>
      </w:r>
      <w:r w:rsidR="0075391D">
        <w:t xml:space="preserve"> knowledge and traditional resource use rights and strategies </w:t>
      </w:r>
      <w:r w:rsidR="00902E43">
        <w:t xml:space="preserve">would help to ensure the maintenance of dynamic relationships </w:t>
      </w:r>
      <w:r w:rsidR="001C2136">
        <w:t>between mineral licks, their associated biological diversity, and the hunters that use them.</w:t>
      </w:r>
      <w:r w:rsidR="00902E43">
        <w:t xml:space="preserve"> </w:t>
      </w:r>
      <w:r w:rsidR="00252D4D">
        <w:t xml:space="preserve">Mineral licks are </w:t>
      </w:r>
      <w:r w:rsidR="009B26D1">
        <w:t xml:space="preserve">important hunting sites not only in </w:t>
      </w:r>
      <w:proofErr w:type="spellStart"/>
      <w:r w:rsidR="009B26D1">
        <w:t>Maijuna</w:t>
      </w:r>
      <w:proofErr w:type="spellEnd"/>
      <w:r w:rsidR="009B26D1">
        <w:t xml:space="preserve"> lands but also throughout the Amazon basin, and we believe our study provides a </w:t>
      </w:r>
      <w:r w:rsidR="00DF43F9">
        <w:t>much-needed</w:t>
      </w:r>
      <w:r w:rsidR="009B26D1">
        <w:t xml:space="preserve"> in-depth </w:t>
      </w:r>
      <w:r w:rsidR="0031571F">
        <w:t>investigation of</w:t>
      </w:r>
      <w:r w:rsidR="009B26D1">
        <w:t xml:space="preserve"> how hunters and communities interact with this culturally, biologically, and economically important habitat.</w:t>
      </w:r>
    </w:p>
    <w:p w14:paraId="2D9631DB" w14:textId="39396C7B" w:rsidR="007D37C6" w:rsidRDefault="007D37C6" w:rsidP="00CE00E0">
      <w:pPr>
        <w:spacing w:line="480" w:lineRule="auto"/>
        <w:rPr>
          <w:b/>
          <w:bCs/>
        </w:rPr>
      </w:pPr>
    </w:p>
    <w:p w14:paraId="5B41FF79" w14:textId="51D6B081" w:rsidR="00C65F8E" w:rsidRDefault="00C65F8E" w:rsidP="00CE00E0">
      <w:pPr>
        <w:spacing w:line="480" w:lineRule="auto"/>
        <w:rPr>
          <w:b/>
          <w:bCs/>
        </w:rPr>
      </w:pPr>
      <w:r>
        <w:rPr>
          <w:b/>
          <w:bCs/>
        </w:rPr>
        <w:t>List of Abbreviations</w:t>
      </w:r>
    </w:p>
    <w:p w14:paraId="343E2273" w14:textId="157BCB8B" w:rsidR="00C65F8E" w:rsidRDefault="00C65F8E" w:rsidP="00CE00E0">
      <w:pPr>
        <w:spacing w:line="480" w:lineRule="auto"/>
        <w:rPr>
          <w:b/>
          <w:bCs/>
        </w:rPr>
      </w:pPr>
    </w:p>
    <w:p w14:paraId="493C45FF" w14:textId="7CBECA86" w:rsidR="00D54E4D" w:rsidRPr="00D54E4D" w:rsidRDefault="00D54E4D" w:rsidP="00CE00E0">
      <w:pPr>
        <w:spacing w:line="480" w:lineRule="auto"/>
      </w:pPr>
      <w:r>
        <w:t>LED: L</w:t>
      </w:r>
      <w:r w:rsidRPr="00D54E4D">
        <w:t xml:space="preserve">ight-emitting </w:t>
      </w:r>
      <w:r>
        <w:t>D</w:t>
      </w:r>
      <w:r w:rsidRPr="00D54E4D">
        <w:t>iode</w:t>
      </w:r>
    </w:p>
    <w:p w14:paraId="2D523ABD" w14:textId="684012CF" w:rsidR="00C65F8E" w:rsidRDefault="00672591" w:rsidP="00CE00E0">
      <w:pPr>
        <w:spacing w:line="480" w:lineRule="auto"/>
      </w:pPr>
      <w:r w:rsidRPr="00672591">
        <w:t xml:space="preserve">MKRCA: </w:t>
      </w:r>
      <w:proofErr w:type="spellStart"/>
      <w:r w:rsidRPr="00672591">
        <w:t>Maijuna-Kichwa</w:t>
      </w:r>
      <w:proofErr w:type="spellEnd"/>
      <w:r w:rsidRPr="00672591">
        <w:t xml:space="preserve"> Regional Conservation Area</w:t>
      </w:r>
    </w:p>
    <w:p w14:paraId="7D1E7639" w14:textId="12BA9D14" w:rsidR="004839DC" w:rsidRPr="00672591" w:rsidRDefault="004839DC" w:rsidP="00CE00E0">
      <w:pPr>
        <w:spacing w:line="480" w:lineRule="auto"/>
      </w:pPr>
      <w:r>
        <w:lastRenderedPageBreak/>
        <w:t>PIC: Prior</w:t>
      </w:r>
      <w:r w:rsidR="00130411">
        <w:t xml:space="preserve"> </w:t>
      </w:r>
      <w:r>
        <w:t>Informed Consent</w:t>
      </w:r>
    </w:p>
    <w:p w14:paraId="7DCD5B5A" w14:textId="0492A029" w:rsidR="000F60D2" w:rsidRDefault="000F60D2" w:rsidP="00CE00E0">
      <w:pPr>
        <w:spacing w:line="480" w:lineRule="auto"/>
        <w:rPr>
          <w:b/>
          <w:bCs/>
        </w:rPr>
      </w:pPr>
    </w:p>
    <w:p w14:paraId="2B22F6F9" w14:textId="7D97CA18" w:rsidR="000F60D2" w:rsidRDefault="000F60D2" w:rsidP="00CE00E0">
      <w:pPr>
        <w:spacing w:line="480" w:lineRule="auto"/>
        <w:rPr>
          <w:b/>
          <w:bCs/>
        </w:rPr>
      </w:pPr>
      <w:r>
        <w:rPr>
          <w:b/>
          <w:bCs/>
        </w:rPr>
        <w:t>Declarations</w:t>
      </w:r>
    </w:p>
    <w:p w14:paraId="25540C28" w14:textId="0DE1724E" w:rsidR="000F60D2" w:rsidRDefault="000F60D2" w:rsidP="00CE00E0">
      <w:pPr>
        <w:spacing w:line="480" w:lineRule="auto"/>
        <w:rPr>
          <w:b/>
          <w:bCs/>
        </w:rPr>
      </w:pPr>
    </w:p>
    <w:p w14:paraId="1CEAD6F5" w14:textId="06807CBA" w:rsidR="006269A1" w:rsidRDefault="006269A1" w:rsidP="00CE00E0">
      <w:pPr>
        <w:spacing w:line="480" w:lineRule="auto"/>
        <w:rPr>
          <w:b/>
          <w:bCs/>
        </w:rPr>
      </w:pPr>
      <w:r w:rsidRPr="006269A1">
        <w:rPr>
          <w:b/>
          <w:bCs/>
        </w:rPr>
        <w:t xml:space="preserve">Ethics </w:t>
      </w:r>
      <w:r>
        <w:rPr>
          <w:b/>
          <w:bCs/>
        </w:rPr>
        <w:t>A</w:t>
      </w:r>
      <w:r w:rsidRPr="006269A1">
        <w:rPr>
          <w:b/>
          <w:bCs/>
        </w:rPr>
        <w:t xml:space="preserve">pproval and </w:t>
      </w:r>
      <w:r>
        <w:rPr>
          <w:b/>
          <w:bCs/>
        </w:rPr>
        <w:t>C</w:t>
      </w:r>
      <w:r w:rsidRPr="006269A1">
        <w:rPr>
          <w:b/>
          <w:bCs/>
        </w:rPr>
        <w:t xml:space="preserve">onsent to </w:t>
      </w:r>
      <w:r>
        <w:rPr>
          <w:b/>
          <w:bCs/>
        </w:rPr>
        <w:t>P</w:t>
      </w:r>
      <w:r w:rsidRPr="006269A1">
        <w:rPr>
          <w:b/>
          <w:bCs/>
        </w:rPr>
        <w:t>articipate</w:t>
      </w:r>
    </w:p>
    <w:p w14:paraId="0A3D916A" w14:textId="77003891" w:rsidR="00866DC9" w:rsidRDefault="00866DC9" w:rsidP="00CE00E0">
      <w:pPr>
        <w:spacing w:line="480" w:lineRule="auto"/>
        <w:rPr>
          <w:b/>
          <w:bCs/>
        </w:rPr>
      </w:pPr>
    </w:p>
    <w:p w14:paraId="5E870132" w14:textId="75DD9BEB" w:rsidR="00866DC9" w:rsidRPr="00866DC9" w:rsidRDefault="00866DC9" w:rsidP="00CE00E0">
      <w:pPr>
        <w:spacing w:line="480" w:lineRule="auto"/>
      </w:pPr>
      <w:r w:rsidRPr="00866DC9">
        <w:t xml:space="preserve">Research was conducted with the approval of the </w:t>
      </w:r>
      <w:proofErr w:type="spellStart"/>
      <w:r w:rsidRPr="00866DC9">
        <w:t>Maijuna</w:t>
      </w:r>
      <w:proofErr w:type="spellEnd"/>
      <w:r w:rsidRPr="00866DC9">
        <w:t xml:space="preserve"> community of</w:t>
      </w:r>
      <w:r>
        <w:t xml:space="preserve"> </w:t>
      </w:r>
      <w:proofErr w:type="spellStart"/>
      <w:r w:rsidRPr="00866DC9">
        <w:t>Sucusari</w:t>
      </w:r>
      <w:proofErr w:type="spellEnd"/>
      <w:r w:rsidRPr="00866DC9">
        <w:t xml:space="preserve"> as well as the George Mason University Office of Research Integrity</w:t>
      </w:r>
      <w:r>
        <w:t xml:space="preserve"> </w:t>
      </w:r>
      <w:r w:rsidRPr="00866DC9">
        <w:t>and Assurance (ORIA), reference number</w:t>
      </w:r>
      <w:r w:rsidR="00805EA5">
        <w:t>s</w:t>
      </w:r>
      <w:r w:rsidRPr="00866DC9">
        <w:t xml:space="preserve"> </w:t>
      </w:r>
      <w:r w:rsidR="00805EA5" w:rsidRPr="00805EA5">
        <w:t>1288488-2</w:t>
      </w:r>
      <w:r w:rsidR="00805EA5">
        <w:t xml:space="preserve"> and </w:t>
      </w:r>
      <w:r w:rsidR="00805EA5" w:rsidRPr="00805EA5">
        <w:t>904314-5</w:t>
      </w:r>
      <w:r w:rsidRPr="00866DC9">
        <w:t>. Before conducting the interviews,</w:t>
      </w:r>
      <w:r>
        <w:t xml:space="preserve"> </w:t>
      </w:r>
      <w:r w:rsidRPr="00866DC9">
        <w:t>prior informed consent was obtained from the community as well</w:t>
      </w:r>
      <w:r>
        <w:t xml:space="preserve"> </w:t>
      </w:r>
      <w:r w:rsidRPr="00866DC9">
        <w:t>as research participants.</w:t>
      </w:r>
    </w:p>
    <w:p w14:paraId="71C9DEE1" w14:textId="6878430A" w:rsidR="00FA1D9E" w:rsidRDefault="00FA1D9E" w:rsidP="00CE00E0">
      <w:pPr>
        <w:spacing w:line="480" w:lineRule="auto"/>
        <w:rPr>
          <w:b/>
          <w:bCs/>
        </w:rPr>
      </w:pPr>
    </w:p>
    <w:p w14:paraId="68B0C6A6" w14:textId="0AE5C051" w:rsidR="00FA1D9E" w:rsidRDefault="00FA1D9E" w:rsidP="00CE00E0">
      <w:pPr>
        <w:spacing w:line="480" w:lineRule="auto"/>
        <w:rPr>
          <w:b/>
          <w:bCs/>
        </w:rPr>
      </w:pPr>
      <w:r>
        <w:rPr>
          <w:b/>
          <w:bCs/>
        </w:rPr>
        <w:t>Consent for Publication</w:t>
      </w:r>
    </w:p>
    <w:p w14:paraId="2B0FAA62" w14:textId="13084BF8" w:rsidR="004020F5" w:rsidRDefault="004020F5" w:rsidP="00CE00E0">
      <w:pPr>
        <w:spacing w:line="480" w:lineRule="auto"/>
        <w:rPr>
          <w:b/>
          <w:bCs/>
        </w:rPr>
      </w:pPr>
    </w:p>
    <w:p w14:paraId="40571ED1" w14:textId="7A6020E9" w:rsidR="004020F5" w:rsidRPr="004020F5" w:rsidRDefault="004020F5" w:rsidP="00CE00E0">
      <w:pPr>
        <w:spacing w:line="480" w:lineRule="auto"/>
      </w:pPr>
      <w:r w:rsidRPr="004020F5">
        <w:t>All data were published with the prior informed consent of research participants.</w:t>
      </w:r>
    </w:p>
    <w:p w14:paraId="6796F8A6" w14:textId="25CDF5E3" w:rsidR="00FA1D9E" w:rsidRDefault="00FA1D9E" w:rsidP="00CE00E0">
      <w:pPr>
        <w:spacing w:line="480" w:lineRule="auto"/>
        <w:rPr>
          <w:b/>
          <w:bCs/>
        </w:rPr>
      </w:pPr>
    </w:p>
    <w:p w14:paraId="695EC96C" w14:textId="238ED8BA" w:rsidR="00FA1D9E" w:rsidRDefault="00FA1D9E" w:rsidP="00CE00E0">
      <w:pPr>
        <w:spacing w:line="480" w:lineRule="auto"/>
        <w:rPr>
          <w:b/>
          <w:bCs/>
        </w:rPr>
      </w:pPr>
      <w:r>
        <w:rPr>
          <w:b/>
          <w:bCs/>
        </w:rPr>
        <w:t>Availability of Data and Materials</w:t>
      </w:r>
    </w:p>
    <w:p w14:paraId="3A1D0F65" w14:textId="07E45589" w:rsidR="00287545" w:rsidRDefault="00287545" w:rsidP="00CE00E0">
      <w:pPr>
        <w:spacing w:line="480" w:lineRule="auto"/>
        <w:rPr>
          <w:b/>
          <w:bCs/>
        </w:rPr>
      </w:pPr>
    </w:p>
    <w:p w14:paraId="5DB212F4" w14:textId="0970DE08" w:rsidR="00287545" w:rsidRPr="00287545" w:rsidRDefault="00287545" w:rsidP="00CE00E0">
      <w:pPr>
        <w:spacing w:line="480" w:lineRule="auto"/>
      </w:pPr>
      <w:r w:rsidRPr="00287545">
        <w:t>The datasets used and/or analyzed during the current study are available from the corresponding author on reasonable request.</w:t>
      </w:r>
    </w:p>
    <w:p w14:paraId="0C030F6A" w14:textId="6C7312DF" w:rsidR="00FA1D9E" w:rsidRDefault="00FA1D9E" w:rsidP="00CE00E0">
      <w:pPr>
        <w:spacing w:line="480" w:lineRule="auto"/>
        <w:rPr>
          <w:b/>
          <w:bCs/>
        </w:rPr>
      </w:pPr>
    </w:p>
    <w:p w14:paraId="15A7EC27" w14:textId="598DB9AD" w:rsidR="00FA1D9E" w:rsidRDefault="00FA1D9E" w:rsidP="00CE00E0">
      <w:pPr>
        <w:spacing w:line="480" w:lineRule="auto"/>
        <w:rPr>
          <w:b/>
          <w:bCs/>
        </w:rPr>
      </w:pPr>
      <w:r>
        <w:rPr>
          <w:b/>
          <w:bCs/>
        </w:rPr>
        <w:t>Competing Interests</w:t>
      </w:r>
    </w:p>
    <w:p w14:paraId="2D1909ED" w14:textId="349E880A" w:rsidR="00CE41A3" w:rsidRDefault="00CE41A3" w:rsidP="00CE00E0">
      <w:pPr>
        <w:spacing w:line="480" w:lineRule="auto"/>
        <w:rPr>
          <w:b/>
          <w:bCs/>
        </w:rPr>
      </w:pPr>
    </w:p>
    <w:p w14:paraId="40D5B14A" w14:textId="6E473CC0" w:rsidR="00CE41A3" w:rsidRPr="00CE41A3" w:rsidRDefault="00CE41A3" w:rsidP="00CE00E0">
      <w:pPr>
        <w:spacing w:line="480" w:lineRule="auto"/>
      </w:pPr>
      <w:r w:rsidRPr="00CE41A3">
        <w:t>The authors declare that they have no competing interests.</w:t>
      </w:r>
    </w:p>
    <w:p w14:paraId="50F6604F" w14:textId="16D99975" w:rsidR="00FA1D9E" w:rsidRDefault="00FA1D9E" w:rsidP="00CE00E0">
      <w:pPr>
        <w:spacing w:line="480" w:lineRule="auto"/>
        <w:rPr>
          <w:b/>
          <w:bCs/>
        </w:rPr>
      </w:pPr>
    </w:p>
    <w:p w14:paraId="34E0E06A" w14:textId="5C1C87EF" w:rsidR="00FA1D9E" w:rsidRDefault="00FA1D9E" w:rsidP="00CE00E0">
      <w:pPr>
        <w:spacing w:line="480" w:lineRule="auto"/>
        <w:rPr>
          <w:b/>
          <w:bCs/>
        </w:rPr>
      </w:pPr>
      <w:r w:rsidRPr="00F84E76">
        <w:rPr>
          <w:b/>
          <w:bCs/>
        </w:rPr>
        <w:t>Funding</w:t>
      </w:r>
    </w:p>
    <w:p w14:paraId="4D97B391" w14:textId="4FD0900D" w:rsidR="006038A9" w:rsidRPr="0094664A" w:rsidRDefault="006038A9" w:rsidP="00CE00E0">
      <w:pPr>
        <w:spacing w:line="480" w:lineRule="auto"/>
      </w:pPr>
    </w:p>
    <w:p w14:paraId="0F331C6A" w14:textId="07A7E7EE" w:rsidR="006038A9" w:rsidRPr="0094664A" w:rsidRDefault="005260DF" w:rsidP="00CE00E0">
      <w:pPr>
        <w:spacing w:line="480" w:lineRule="auto"/>
      </w:pPr>
      <w:r>
        <w:t>G</w:t>
      </w:r>
      <w:r w:rsidR="00C65240">
        <w:t>eorge Mason University and</w:t>
      </w:r>
      <w:r>
        <w:t xml:space="preserve"> </w:t>
      </w:r>
      <w:proofErr w:type="spellStart"/>
      <w:r w:rsidR="007E3C98">
        <w:t>OnePlanet</w:t>
      </w:r>
      <w:proofErr w:type="spellEnd"/>
      <w:r w:rsidR="00C65240">
        <w:t xml:space="preserve">, Inc. provided financial support for </w:t>
      </w:r>
      <w:r w:rsidR="003112DC">
        <w:t>fieldwork</w:t>
      </w:r>
      <w:r w:rsidR="00C65240">
        <w:t xml:space="preserve">. </w:t>
      </w:r>
      <w:r w:rsidR="000735F2">
        <w:t xml:space="preserve">BG </w:t>
      </w:r>
      <w:r w:rsidR="00956985" w:rsidRPr="00956985">
        <w:t>was supported by a Fulbright U.S. Student Research Grant.</w:t>
      </w:r>
    </w:p>
    <w:p w14:paraId="24203BF1" w14:textId="03A855E9" w:rsidR="00FA1D9E" w:rsidRPr="0094664A" w:rsidRDefault="00FA1D9E" w:rsidP="00CE00E0">
      <w:pPr>
        <w:spacing w:line="480" w:lineRule="auto"/>
      </w:pPr>
    </w:p>
    <w:p w14:paraId="1420ED82" w14:textId="61BAA081" w:rsidR="00FA1D9E" w:rsidRDefault="00FA1D9E" w:rsidP="00CE00E0">
      <w:pPr>
        <w:spacing w:line="480" w:lineRule="auto"/>
        <w:rPr>
          <w:b/>
          <w:bCs/>
        </w:rPr>
      </w:pPr>
      <w:r>
        <w:rPr>
          <w:b/>
          <w:bCs/>
        </w:rPr>
        <w:t>Authors’ Contributions</w:t>
      </w:r>
    </w:p>
    <w:p w14:paraId="4FAC5200" w14:textId="20D29B60" w:rsidR="0094664A" w:rsidRPr="0094664A" w:rsidRDefault="0094664A" w:rsidP="00CE00E0">
      <w:pPr>
        <w:spacing w:line="480" w:lineRule="auto"/>
      </w:pPr>
    </w:p>
    <w:p w14:paraId="0FE12BDA" w14:textId="2852DFE2" w:rsidR="006269A1" w:rsidRDefault="007E3CB7" w:rsidP="00CE00E0">
      <w:pPr>
        <w:spacing w:line="480" w:lineRule="auto"/>
      </w:pPr>
      <w:r>
        <w:t xml:space="preserve">MG wrote the manuscript with help from </w:t>
      </w:r>
      <w:r w:rsidR="000B6E6D">
        <w:t>BG</w:t>
      </w:r>
      <w:r>
        <w:t xml:space="preserve"> and </w:t>
      </w:r>
      <w:r w:rsidR="000B6E6D">
        <w:t>MB</w:t>
      </w:r>
      <w:r>
        <w:t xml:space="preserve">. All authors helped to design the study, carry out the field research, and analyze/interpret the data. Data collected during this study was supplemented by data that MG has collected during ethnobiological and ethnoecological field research with the </w:t>
      </w:r>
      <w:proofErr w:type="spellStart"/>
      <w:r>
        <w:t>Maijuna</w:t>
      </w:r>
      <w:proofErr w:type="spellEnd"/>
      <w:r>
        <w:t xml:space="preserve"> since 1999. </w:t>
      </w:r>
      <w:r w:rsidR="0081005F">
        <w:t>All authors have read, edited, and approved the final version of the manuscript.</w:t>
      </w:r>
      <w:r w:rsidR="00AA27EA">
        <w:t xml:space="preserve"> </w:t>
      </w:r>
    </w:p>
    <w:p w14:paraId="72D8F724" w14:textId="77777777" w:rsidR="0081005F" w:rsidRPr="0094664A" w:rsidRDefault="0081005F" w:rsidP="00CE00E0">
      <w:pPr>
        <w:spacing w:line="480" w:lineRule="auto"/>
      </w:pPr>
    </w:p>
    <w:p w14:paraId="6B8109CC" w14:textId="61812E09" w:rsidR="00EC55AF" w:rsidRDefault="00EC55AF" w:rsidP="00CE00E0">
      <w:pPr>
        <w:spacing w:line="480" w:lineRule="auto"/>
        <w:rPr>
          <w:b/>
          <w:bCs/>
        </w:rPr>
      </w:pPr>
      <w:r w:rsidRPr="00C65240">
        <w:rPr>
          <w:b/>
          <w:bCs/>
        </w:rPr>
        <w:t>Acknowledgements</w:t>
      </w:r>
    </w:p>
    <w:p w14:paraId="33CFFFE3" w14:textId="4D988187" w:rsidR="0094664A" w:rsidRPr="0094664A" w:rsidRDefault="0094664A" w:rsidP="00CE00E0">
      <w:pPr>
        <w:spacing w:line="480" w:lineRule="auto"/>
      </w:pPr>
    </w:p>
    <w:p w14:paraId="6EADFE9E" w14:textId="2BBBF933" w:rsidR="0094664A" w:rsidRPr="0094664A" w:rsidRDefault="009C1A84" w:rsidP="00CE00E0">
      <w:pPr>
        <w:spacing w:line="480" w:lineRule="auto"/>
      </w:pPr>
      <w:r>
        <w:t xml:space="preserve">We would like to thank the </w:t>
      </w:r>
      <w:proofErr w:type="spellStart"/>
      <w:r w:rsidRPr="009C1A84">
        <w:rPr>
          <w:i/>
          <w:iCs/>
        </w:rPr>
        <w:t>Federación</w:t>
      </w:r>
      <w:proofErr w:type="spellEnd"/>
      <w:r w:rsidRPr="009C1A84">
        <w:rPr>
          <w:i/>
          <w:iCs/>
        </w:rPr>
        <w:t xml:space="preserve"> de </w:t>
      </w:r>
      <w:proofErr w:type="spellStart"/>
      <w:r w:rsidRPr="009C1A84">
        <w:rPr>
          <w:i/>
          <w:iCs/>
        </w:rPr>
        <w:t>Comunidades</w:t>
      </w:r>
      <w:proofErr w:type="spellEnd"/>
      <w:r w:rsidRPr="009C1A84">
        <w:rPr>
          <w:i/>
          <w:iCs/>
        </w:rPr>
        <w:t xml:space="preserve"> </w:t>
      </w:r>
      <w:proofErr w:type="spellStart"/>
      <w:r w:rsidRPr="009C1A84">
        <w:rPr>
          <w:i/>
          <w:iCs/>
        </w:rPr>
        <w:t>Nativas</w:t>
      </w:r>
      <w:proofErr w:type="spellEnd"/>
      <w:r w:rsidRPr="009C1A84">
        <w:rPr>
          <w:i/>
          <w:iCs/>
        </w:rPr>
        <w:t xml:space="preserve"> </w:t>
      </w:r>
      <w:proofErr w:type="spellStart"/>
      <w:r w:rsidRPr="009C1A84">
        <w:rPr>
          <w:i/>
          <w:iCs/>
        </w:rPr>
        <w:t>Maijuna</w:t>
      </w:r>
      <w:proofErr w:type="spellEnd"/>
      <w:r>
        <w:t xml:space="preserve"> (FECONAMAI) and the </w:t>
      </w:r>
      <w:proofErr w:type="spellStart"/>
      <w:r>
        <w:t>Sucusari</w:t>
      </w:r>
      <w:proofErr w:type="spellEnd"/>
      <w:r>
        <w:t xml:space="preserve"> </w:t>
      </w:r>
      <w:r w:rsidR="00E6232C">
        <w:t xml:space="preserve">community </w:t>
      </w:r>
      <w:r>
        <w:t xml:space="preserve">for their interest and collaboration in this project. </w:t>
      </w:r>
      <w:r w:rsidR="005A6787">
        <w:t xml:space="preserve">A special thanks to Sebastián Ríos Ochoa for his commitment and support throughout the entire research </w:t>
      </w:r>
      <w:r w:rsidR="009A2865">
        <w:t>process</w:t>
      </w:r>
      <w:r w:rsidR="005A6787">
        <w:t>.</w:t>
      </w:r>
      <w:r w:rsidR="00F56A9A">
        <w:t xml:space="preserve"> </w:t>
      </w:r>
      <w:r w:rsidR="001E0D57">
        <w:t xml:space="preserve">We thank </w:t>
      </w:r>
      <w:proofErr w:type="spellStart"/>
      <w:r w:rsidR="001E0D57">
        <w:t>OnePlanet</w:t>
      </w:r>
      <w:proofErr w:type="spellEnd"/>
      <w:r w:rsidR="001E0D57">
        <w:t xml:space="preserve">, Inc. for </w:t>
      </w:r>
      <w:r w:rsidR="00476610">
        <w:t xml:space="preserve">invaluable </w:t>
      </w:r>
      <w:r w:rsidR="00AD2965">
        <w:t xml:space="preserve">help and </w:t>
      </w:r>
      <w:r w:rsidR="001E0D57">
        <w:t>support</w:t>
      </w:r>
      <w:r w:rsidR="00476610">
        <w:t xml:space="preserve"> in the field</w:t>
      </w:r>
      <w:r w:rsidR="001E0D57">
        <w:t xml:space="preserve">. </w:t>
      </w:r>
      <w:r w:rsidR="00C819DF">
        <w:t>Additionally, we thank Elizabeth Benson and Forrest Lewis for help in collecting data and</w:t>
      </w:r>
      <w:r w:rsidR="001E0D57">
        <w:t xml:space="preserve"> Jason Young for producing the map for this paper.</w:t>
      </w:r>
      <w:r w:rsidR="000B3E37">
        <w:t xml:space="preserve"> We </w:t>
      </w:r>
      <w:r w:rsidR="001C00A9">
        <w:t>would also like to</w:t>
      </w:r>
      <w:r w:rsidR="000B3E37">
        <w:t xml:space="preserve"> thank three anonymous reviewers for their time and valuable feedback</w:t>
      </w:r>
      <w:r w:rsidR="007C07F2">
        <w:t xml:space="preserve"> on this paper.</w:t>
      </w:r>
    </w:p>
    <w:p w14:paraId="224D63F9" w14:textId="77777777" w:rsidR="00C65F8E" w:rsidRPr="0094664A" w:rsidRDefault="00C65F8E" w:rsidP="00CE00E0">
      <w:pPr>
        <w:spacing w:line="480" w:lineRule="auto"/>
      </w:pPr>
    </w:p>
    <w:p w14:paraId="4A6BA5FD" w14:textId="77777777" w:rsidR="00516847" w:rsidRPr="00EC55AF" w:rsidRDefault="00516847" w:rsidP="00CE00E0">
      <w:pPr>
        <w:spacing w:line="480" w:lineRule="auto"/>
        <w:rPr>
          <w:b/>
          <w:bCs/>
        </w:rPr>
      </w:pPr>
      <w:r w:rsidRPr="00EC55AF">
        <w:rPr>
          <w:b/>
          <w:bCs/>
        </w:rPr>
        <w:t>Endnotes</w:t>
      </w:r>
    </w:p>
    <w:p w14:paraId="1ECBC024" w14:textId="77777777" w:rsidR="00516847" w:rsidRDefault="00516847" w:rsidP="00CE00E0">
      <w:pPr>
        <w:spacing w:line="480" w:lineRule="auto"/>
        <w:rPr>
          <w:b/>
          <w:bCs/>
        </w:rPr>
      </w:pPr>
    </w:p>
    <w:p w14:paraId="0996E7C5" w14:textId="5353E2F5" w:rsidR="00516847" w:rsidRPr="00870F21" w:rsidRDefault="00516847" w:rsidP="00CE00E0">
      <w:pPr>
        <w:spacing w:line="480" w:lineRule="auto"/>
      </w:pPr>
      <w:r>
        <w:rPr>
          <w:vertAlign w:val="superscript"/>
        </w:rPr>
        <w:t>a</w:t>
      </w:r>
      <w:r w:rsidRPr="00870F21">
        <w:t xml:space="preserve"> </w:t>
      </w:r>
      <w:r w:rsidRPr="00870F21">
        <w:rPr>
          <w:bCs/>
          <w:i/>
          <w:iCs/>
        </w:rPr>
        <w:t>Mestizos</w:t>
      </w:r>
      <w:r w:rsidRPr="00870F21">
        <w:rPr>
          <w:bCs/>
          <w:iCs/>
        </w:rPr>
        <w:t xml:space="preserve"> are people of mixed Amerindian and Iberian descent found throughout the Peruvian Amazon who practice a mixture of traditional agriculture, hunting, fishing, and forest product extraction for their livelihoods </w:t>
      </w:r>
      <w:r w:rsidR="007A6014">
        <w:rPr>
          <w:bCs/>
          <w:iCs/>
        </w:rPr>
        <w:t>(</w:t>
      </w:r>
      <w:r w:rsidR="007A6014">
        <w:rPr>
          <w:bCs/>
          <w:iCs/>
        </w:rPr>
        <w:fldChar w:fldCharType="begin"/>
      </w:r>
      <w:r w:rsidR="00B04A17">
        <w:rPr>
          <w:bCs/>
          <w:iCs/>
        </w:rPr>
        <w:instrText xml:space="preserve"> ADDIN ZOTERO_ITEM CSL_CITATION {"citationID":"4KZ20gx2","properties":{"formattedCitation":"[47]","plainCitation":"[47]","noteIndex":0},"citationItems":[{"id":78,"uris":["http://zotero.org/users/1105362/items/E3A4EKKK"],"uri":["http://zotero.org/users/1105362/items/E3A4EKKK"],"itemData":{"id":78,"type":"article-journal","title":"Changing floodplain livelihood patterns in the Peruvian Amazon","container-title":"Tsukuba Studies in Human Geography","page":"243-275","volume":"9","author":[{"family":"Hiraoka","given":"M."}],"issued":{"date-parts":[["1985"]]}}}],"schema":"https://github.com/citation-style-language/schema/raw/master/csl-citation.json"} </w:instrText>
      </w:r>
      <w:r w:rsidR="007A6014">
        <w:rPr>
          <w:bCs/>
          <w:iCs/>
        </w:rPr>
        <w:fldChar w:fldCharType="separate"/>
      </w:r>
      <w:r w:rsidR="00B04A17">
        <w:rPr>
          <w:bCs/>
          <w:iCs/>
          <w:noProof/>
        </w:rPr>
        <w:t>[47]</w:t>
      </w:r>
      <w:r w:rsidR="007A6014">
        <w:rPr>
          <w:bCs/>
          <w:iCs/>
        </w:rPr>
        <w:fldChar w:fldCharType="end"/>
      </w:r>
      <w:r w:rsidR="007A6014">
        <w:rPr>
          <w:bCs/>
          <w:iCs/>
        </w:rPr>
        <w:fldChar w:fldCharType="begin"/>
      </w:r>
      <w:r w:rsidR="00B04A17">
        <w:rPr>
          <w:bCs/>
          <w:iCs/>
        </w:rPr>
        <w:instrText xml:space="preserve"> ADDIN ZOTERO_ITEM CSL_CITATION {"citationID":"9lRoTXTb","properties":{"formattedCitation":"[48]","plainCitation":"[48]","noteIndex":0},"citationItems":[{"id":79,"uris":["http://zotero.org/users/1105362/items/ATN2XF7I"],"uri":["http://zotero.org/users/1105362/items/ATN2XF7I"],"itemData":{"id":79,"type":"chapter","title":"People of the floodplain and forest","container-title":"People of the Tropical Rain Forest","publisher":"University of California Press","publisher-place":"Berkeley","page":"127–140","source":"Google Scholar","event-place":"Berkeley","author":[{"family":"Padoch","given":"C."}],"editor":[{"family":"Deslow","given":"J. S."},{"family":"Padoch","given":"C."}],"issued":{"date-parts":[["1988"]]}}}],"schema":"https://github.com/citation-style-language/schema/raw/master/csl-citation.json"} </w:instrText>
      </w:r>
      <w:r w:rsidR="007A6014">
        <w:rPr>
          <w:bCs/>
          <w:iCs/>
        </w:rPr>
        <w:fldChar w:fldCharType="separate"/>
      </w:r>
      <w:r w:rsidR="00B04A17">
        <w:rPr>
          <w:bCs/>
          <w:iCs/>
          <w:noProof/>
        </w:rPr>
        <w:t>[48]</w:t>
      </w:r>
      <w:r w:rsidR="007A6014">
        <w:rPr>
          <w:bCs/>
          <w:iCs/>
        </w:rPr>
        <w:fldChar w:fldCharType="end"/>
      </w:r>
      <w:r w:rsidR="007A6014">
        <w:rPr>
          <w:bCs/>
          <w:iCs/>
        </w:rPr>
        <w:fldChar w:fldCharType="begin"/>
      </w:r>
      <w:r w:rsidR="00B04A17">
        <w:rPr>
          <w:bCs/>
          <w:iCs/>
        </w:rPr>
        <w:instrText xml:space="preserve"> ADDIN ZOTERO_ITEM CSL_CITATION {"citationID":"3WAqi2tl","properties":{"formattedCitation":"[49]","plainCitation":"[49]","noteIndex":0},"citationItems":[{"id":76,"uris":["http://zotero.org/users/1105362/items/5TVQC42A"],"uri":["http://zotero.org/users/1105362/items/5TVQC42A"],"itemData":{"id":76,"type":"book","title":"Risky rivers: the economics and politics of floodplain farming in Amazonia","publisher":"University of Arizona Press","publisher-place":"Tucson","source":"Google Scholar","event-place":"Tucson","URL":"http://books.google.com/books?hl=en&amp;lr=&amp;id=egnW8u_-2QUC&amp;oi=fnd&amp;pg=PR10&amp;dq=Risky+rivers:+the+economics+and+politics+of+floodplain+farming+in+Amazonia.++&amp;ots=In7KY8rPRM&amp;sig=ASPCFgVrfyxQLpqjwqzPwmxVyus","title-short":"Risky rivers","author":[{"family":"Chibnik","given":"M."}],"issued":{"date-parts":[["1994"]]},"accessed":{"date-parts":[["2012",12,20]]}}}],"schema":"https://github.com/citation-style-language/schema/raw/master/csl-citation.json"} </w:instrText>
      </w:r>
      <w:r w:rsidR="007A6014">
        <w:rPr>
          <w:bCs/>
          <w:iCs/>
        </w:rPr>
        <w:fldChar w:fldCharType="separate"/>
      </w:r>
      <w:r w:rsidR="00B04A17">
        <w:rPr>
          <w:bCs/>
          <w:iCs/>
          <w:noProof/>
        </w:rPr>
        <w:t>[49]</w:t>
      </w:r>
      <w:r w:rsidR="007A6014">
        <w:rPr>
          <w:bCs/>
          <w:iCs/>
        </w:rPr>
        <w:fldChar w:fldCharType="end"/>
      </w:r>
      <w:r w:rsidR="007A6014">
        <w:rPr>
          <w:bCs/>
          <w:iCs/>
        </w:rPr>
        <w:t xml:space="preserve"> </w:t>
      </w:r>
      <w:r w:rsidRPr="00912713">
        <w:rPr>
          <w:bCs/>
          <w:iCs/>
        </w:rPr>
        <w:t>as cited in</w:t>
      </w:r>
      <w:r>
        <w:rPr>
          <w:bCs/>
          <w:iCs/>
        </w:rPr>
        <w:t xml:space="preserve"> </w:t>
      </w:r>
      <w:r w:rsidR="007A6014">
        <w:rPr>
          <w:bCs/>
          <w:iCs/>
        </w:rPr>
        <w:fldChar w:fldCharType="begin"/>
      </w:r>
      <w:r w:rsidR="00B04A17">
        <w:rPr>
          <w:bCs/>
          <w:iCs/>
        </w:rPr>
        <w:instrText xml:space="preserve"> ADDIN ZOTERO_ITEM CSL_CITATION {"citationID":"f9CuQnxW","properties":{"formattedCitation":"[50]","plainCitation":"[50]","noteIndex":0},"citationItems":[{"id":80,"uris":["http://zotero.org/users/1105362/items/G8A6XHW4"],"uri":["http://zotero.org/users/1105362/items/G8A6XHW4"],"itemData":{"id":80,"type":"article-journal","title":"Cultivated plant species diversity in home gardens of an Amazonian peasant village in Northeastern Peru","container-title":"Economic Botany","page":"420-434","volume":"58","issue":"3","source":"link.springer.com","abstract":"Research on agrobiodiversity points to the importance of home gardens in situ conservation, yet few studies to date explicate the origins and dynamics of plant species diversity. In this paper, we examine inter-household variations in cultivated plant species diversity among house gardens in a traditional peasant community, near Iquitos, Peru. In-depth household interviews (n = 24) and garden/field surveys reveal that home gardens are clearly the site of highest plant diversity in farmers’ field portfolios, and that substantial differences exist in garden composition, plant diversity, and the sources of garden planting material across households. Statistical analyses indicate that home garden diversity is related strongly to specific garden characteristics, household socioeconomic features, and access to planting material including seeds, cuttings, and suckers. The role and implications of differential access to planting material in the development and maintenance of crop species diversity is signaled as an important theme for future study in economic botany.","DOI":"10.1663/0013-0001(2004)058[0420:CPSDIH]2.0.CO;2","ISSN":"0013-0001, 1874-9364","journalAbbreviation":"Econ Bot","language":"en","author":[{"family":"Coomes","given":"Oliver T."},{"family":"Ban","given":"Natalie"}],"issued":{"date-parts":[["2004",9,1]]}}}],"schema":"https://github.com/citation-style-language/schema/raw/master/csl-citation.json"} </w:instrText>
      </w:r>
      <w:r w:rsidR="007A6014">
        <w:rPr>
          <w:bCs/>
          <w:iCs/>
        </w:rPr>
        <w:fldChar w:fldCharType="separate"/>
      </w:r>
      <w:r w:rsidR="00B04A17">
        <w:rPr>
          <w:bCs/>
          <w:iCs/>
          <w:noProof/>
        </w:rPr>
        <w:t>[50]</w:t>
      </w:r>
      <w:r w:rsidR="007A6014">
        <w:rPr>
          <w:bCs/>
          <w:iCs/>
        </w:rPr>
        <w:fldChar w:fldCharType="end"/>
      </w:r>
      <w:r w:rsidRPr="00912713">
        <w:rPr>
          <w:bCs/>
          <w:iCs/>
        </w:rPr>
        <w:t>: 421</w:t>
      </w:r>
      <w:r w:rsidRPr="00870F21">
        <w:rPr>
          <w:bCs/>
          <w:iCs/>
        </w:rPr>
        <w:t>).</w:t>
      </w:r>
    </w:p>
    <w:p w14:paraId="7D461700" w14:textId="77777777" w:rsidR="00516847" w:rsidRPr="00870F21" w:rsidRDefault="00516847" w:rsidP="00CE00E0">
      <w:pPr>
        <w:spacing w:line="480" w:lineRule="auto"/>
      </w:pPr>
    </w:p>
    <w:p w14:paraId="63014E95" w14:textId="3AB7C246" w:rsidR="00C066CD" w:rsidRDefault="00516847" w:rsidP="00CE00E0">
      <w:pPr>
        <w:spacing w:line="480" w:lineRule="auto"/>
      </w:pPr>
      <w:r>
        <w:rPr>
          <w:vertAlign w:val="superscript"/>
        </w:rPr>
        <w:t>b</w:t>
      </w:r>
      <w:r w:rsidRPr="00870F21">
        <w:rPr>
          <w:vertAlign w:val="superscript"/>
        </w:rPr>
        <w:t xml:space="preserve"> </w:t>
      </w:r>
      <w:r w:rsidRPr="00870F21">
        <w:t xml:space="preserve">All </w:t>
      </w:r>
      <w:proofErr w:type="spellStart"/>
      <w:r w:rsidRPr="00870F21">
        <w:t>Maijuna</w:t>
      </w:r>
      <w:proofErr w:type="spellEnd"/>
      <w:r w:rsidRPr="00870F21">
        <w:t xml:space="preserve"> t</w:t>
      </w:r>
      <w:r>
        <w:t xml:space="preserve">erms are in bold face italics. </w:t>
      </w:r>
      <w:r w:rsidRPr="00870F21">
        <w:t xml:space="preserve">Transcription of </w:t>
      </w:r>
      <w:proofErr w:type="spellStart"/>
      <w:r w:rsidRPr="00870F21">
        <w:t>Maijuna</w:t>
      </w:r>
      <w:proofErr w:type="spellEnd"/>
      <w:r w:rsidRPr="00870F21">
        <w:t xml:space="preserve"> words was accomplished with the help of </w:t>
      </w:r>
      <w:r w:rsidR="000F0FE9">
        <w:t>S</w:t>
      </w:r>
      <w:r w:rsidR="005974A4">
        <w:t>ebastián</w:t>
      </w:r>
      <w:r w:rsidR="005974A4" w:rsidRPr="00870F21">
        <w:t xml:space="preserve"> </w:t>
      </w:r>
      <w:r w:rsidRPr="00870F21">
        <w:t xml:space="preserve">Ríos Ochoa, a literate and bilingual </w:t>
      </w:r>
      <w:proofErr w:type="spellStart"/>
      <w:r w:rsidRPr="00870F21">
        <w:t>Maijuna</w:t>
      </w:r>
      <w:proofErr w:type="spellEnd"/>
      <w:r w:rsidRPr="00870F21">
        <w:t xml:space="preserve"> individual, using a</w:t>
      </w:r>
      <w:r w:rsidR="00DA0A79">
        <w:t>n</w:t>
      </w:r>
      <w:r w:rsidRPr="00870F21">
        <w:t xml:space="preserve"> orthography </w:t>
      </w:r>
      <w:r w:rsidR="00DA0A79">
        <w:t>developed</w:t>
      </w:r>
      <w:r>
        <w:t xml:space="preserve"> by</w:t>
      </w:r>
      <w:r w:rsidRPr="00D36A9B">
        <w:t xml:space="preserve"> </w:t>
      </w:r>
      <w:r w:rsidR="00DA0A79">
        <w:t xml:space="preserve">Michael et al. </w:t>
      </w:r>
      <w:r w:rsidR="00E9541C">
        <w:fldChar w:fldCharType="begin"/>
      </w:r>
      <w:r w:rsidR="00B04A17">
        <w:instrText xml:space="preserve"> ADDIN ZOTERO_ITEM CSL_CITATION {"citationID":"DKrtcK4m","properties":{"formattedCitation":"[51]","plainCitation":"[51]","noteIndex":0},"citationItems":[{"id":2180,"uris":["http://zotero.org/users/1105362/items/N65N53LK"],"uri":["http://zotero.org/users/1105362/items/N65N53LK"],"itemData":{"id":2180,"type":"book","title":"Diccionario Bilingüe máíjìkì-castellano y castellano-máíjìkì","publisher":"Cabeceras Aid Project","publisher-place":"Iquitos","event-place":"Iquitos","URL":"http://www.cabeceras.org/mai_ore_diccionario2013.pdf","author":[{"family":"Michael","given":"Lev"},{"family":"Beier","given":"Christine"},{"family":"Farmer","given":"Stephanie"},{"family":"Neely","given":"Kelsey"},{"family":"Skilton","given":"Amalia"},{"family":"Finley","given":"Greg"},{"family":"Sylak","given":"John"},{"family":"Neveu","given":"Grace"},{"family":"Ríos Vaca","given":"Everest"},{"family":"Tangoa Ríos","given":"Rusber"},{"family":"Ríos Tapullima","given":"Segundo"},{"family":"Tamayo Tapullima","given":"Teodora"},{"family":"Tamayo Mera","given":"Grapulio"},{"family":"Pinedo Ríos","given":"Lindaura"},{"family":"Ríos Ochoa","given":"Sebastián"},{"family":"Gonzales Flores","given":"Lizardo"},{"family":"Mosoline Mogica","given":"Liberato"},{"family":"Mosoline Mogica","given":"Alberto"}],"issued":{"date-parts":[["2013"]]}}}],"schema":"https://github.com/citation-style-language/schema/raw/master/csl-citation.json"} </w:instrText>
      </w:r>
      <w:r w:rsidR="00E9541C">
        <w:fldChar w:fldCharType="separate"/>
      </w:r>
      <w:r w:rsidR="00B04A17">
        <w:rPr>
          <w:noProof/>
        </w:rPr>
        <w:t>[51]</w:t>
      </w:r>
      <w:r w:rsidR="00E9541C">
        <w:fldChar w:fldCharType="end"/>
      </w:r>
      <w:r w:rsidR="00C066CD">
        <w:t xml:space="preserve">. </w:t>
      </w:r>
      <w:r w:rsidR="00FD6330">
        <w:t>T</w:t>
      </w:r>
      <w:r w:rsidR="00C066CD">
        <w:t xml:space="preserve">he spelling of </w:t>
      </w:r>
      <w:proofErr w:type="spellStart"/>
      <w:r w:rsidR="00C066CD">
        <w:t>Maijuna</w:t>
      </w:r>
      <w:proofErr w:type="spellEnd"/>
      <w:r w:rsidR="00C066CD">
        <w:t xml:space="preserve"> words </w:t>
      </w:r>
      <w:r w:rsidR="00846F78">
        <w:t>was</w:t>
      </w:r>
      <w:r w:rsidR="00FD6330">
        <w:t xml:space="preserve"> then </w:t>
      </w:r>
      <w:r w:rsidR="00C066CD">
        <w:t>crosschecked using this same source</w:t>
      </w:r>
      <w:r>
        <w:t>.</w:t>
      </w:r>
    </w:p>
    <w:p w14:paraId="21DBFF8A" w14:textId="77777777" w:rsidR="00516847" w:rsidRDefault="00516847" w:rsidP="00CE00E0">
      <w:pPr>
        <w:spacing w:line="480" w:lineRule="auto"/>
        <w:rPr>
          <w:b/>
          <w:bCs/>
        </w:rPr>
      </w:pPr>
    </w:p>
    <w:p w14:paraId="0FE70489" w14:textId="3810F19A" w:rsidR="00516847" w:rsidRPr="00870F21" w:rsidRDefault="00516847" w:rsidP="00CE00E0">
      <w:pPr>
        <w:spacing w:line="480" w:lineRule="auto"/>
        <w:outlineLvl w:val="0"/>
      </w:pPr>
      <w:r>
        <w:rPr>
          <w:vertAlign w:val="superscript"/>
        </w:rPr>
        <w:t>c</w:t>
      </w:r>
      <w:r w:rsidRPr="00870F21">
        <w:t xml:space="preserve"> </w:t>
      </w:r>
      <w:proofErr w:type="spellStart"/>
      <w:r w:rsidRPr="00870F21">
        <w:rPr>
          <w:i/>
        </w:rPr>
        <w:t>Patrones</w:t>
      </w:r>
      <w:proofErr w:type="spellEnd"/>
      <w:r w:rsidRPr="00870F21">
        <w:t xml:space="preserve"> are c</w:t>
      </w:r>
      <w:r w:rsidRPr="00870F21">
        <w:rPr>
          <w:bCs/>
          <w:iCs/>
        </w:rPr>
        <w:t xml:space="preserve">olonists and their descendants who exploited </w:t>
      </w:r>
      <w:r w:rsidR="004752A6">
        <w:rPr>
          <w:bCs/>
          <w:iCs/>
        </w:rPr>
        <w:t>I</w:t>
      </w:r>
      <w:r w:rsidRPr="00870F21">
        <w:rPr>
          <w:bCs/>
          <w:iCs/>
        </w:rPr>
        <w:t>ndigenous labor to harvest forest resources.</w:t>
      </w:r>
    </w:p>
    <w:p w14:paraId="2CA5C679" w14:textId="77777777" w:rsidR="00516847" w:rsidRDefault="00516847" w:rsidP="00CE00E0">
      <w:pPr>
        <w:spacing w:line="480" w:lineRule="auto"/>
        <w:rPr>
          <w:b/>
          <w:bCs/>
        </w:rPr>
      </w:pPr>
    </w:p>
    <w:p w14:paraId="3E07DB7E" w14:textId="155EE538" w:rsidR="00B93BFE" w:rsidRDefault="00EC55AF" w:rsidP="00CE00E0">
      <w:pPr>
        <w:spacing w:line="480" w:lineRule="auto"/>
        <w:rPr>
          <w:b/>
          <w:bCs/>
        </w:rPr>
      </w:pPr>
      <w:r w:rsidRPr="00565000">
        <w:rPr>
          <w:b/>
          <w:bCs/>
        </w:rPr>
        <w:t>References</w:t>
      </w:r>
    </w:p>
    <w:p w14:paraId="4396B4D6" w14:textId="77777777" w:rsidR="000835CD" w:rsidRDefault="000835CD" w:rsidP="00220F08">
      <w:pPr>
        <w:spacing w:line="480" w:lineRule="auto"/>
      </w:pPr>
    </w:p>
    <w:p w14:paraId="7656B1C3" w14:textId="77777777" w:rsidR="00B04A17" w:rsidRPr="00B04A17" w:rsidRDefault="0017089E" w:rsidP="0005259E">
      <w:pPr>
        <w:pStyle w:val="Bibliography"/>
      </w:pPr>
      <w:r>
        <w:fldChar w:fldCharType="begin"/>
      </w:r>
      <w:r w:rsidR="00FD52E5">
        <w:instrText xml:space="preserve"> ADDIN ZOTERO_BIBL {"uncited":[],"omitted":[],"custom":[]} CSL_BIBLIOGRAPHY </w:instrText>
      </w:r>
      <w:r>
        <w:fldChar w:fldCharType="separate"/>
      </w:r>
      <w:r w:rsidR="00B04A17" w:rsidRPr="00B04A17">
        <w:t xml:space="preserve">1. Benítez-López A, Alkemade R, Schipper AM, Ingram DJ, Verweij PA, </w:t>
      </w:r>
      <w:proofErr w:type="spellStart"/>
      <w:r w:rsidR="00B04A17" w:rsidRPr="00B04A17">
        <w:t>Eikelboom</w:t>
      </w:r>
      <w:proofErr w:type="spellEnd"/>
      <w:r w:rsidR="00B04A17" w:rsidRPr="00B04A17">
        <w:t xml:space="preserve"> JAJ, et al. The impact of hunting on tropical mammal and bird populations. Science. 2017;356:180–183. </w:t>
      </w:r>
    </w:p>
    <w:p w14:paraId="76EE8EA8" w14:textId="77777777" w:rsidR="00B04A17" w:rsidRPr="00B04A17" w:rsidRDefault="00B04A17" w:rsidP="0005259E">
      <w:pPr>
        <w:pStyle w:val="Bibliography"/>
      </w:pPr>
      <w:r w:rsidRPr="00B04A17">
        <w:t xml:space="preserve">2. Antunes AP, </w:t>
      </w:r>
      <w:proofErr w:type="spellStart"/>
      <w:r w:rsidRPr="00B04A17">
        <w:t>Fewster</w:t>
      </w:r>
      <w:proofErr w:type="spellEnd"/>
      <w:r w:rsidRPr="00B04A17">
        <w:t xml:space="preserve"> RM, </w:t>
      </w:r>
      <w:proofErr w:type="spellStart"/>
      <w:r w:rsidRPr="00B04A17">
        <w:t>Venticinque</w:t>
      </w:r>
      <w:proofErr w:type="spellEnd"/>
      <w:r w:rsidRPr="00B04A17">
        <w:t xml:space="preserve"> EM, Peres CA, Levi T, </w:t>
      </w:r>
      <w:proofErr w:type="spellStart"/>
      <w:r w:rsidRPr="00B04A17">
        <w:t>Rohe</w:t>
      </w:r>
      <w:proofErr w:type="spellEnd"/>
      <w:r w:rsidRPr="00B04A17">
        <w:t xml:space="preserve"> F, et al. Empty forest or empty rivers? A century of commercial hunting in Amazonia. Sci Adv. 2016;2:e1600936. </w:t>
      </w:r>
    </w:p>
    <w:p w14:paraId="38E3C495" w14:textId="77777777" w:rsidR="00B04A17" w:rsidRPr="00B04A17" w:rsidRDefault="00B04A17" w:rsidP="0005259E">
      <w:pPr>
        <w:pStyle w:val="Bibliography"/>
      </w:pPr>
      <w:r w:rsidRPr="00B04A17">
        <w:t xml:space="preserve">3. Mesquita GP, Barreto LN. Evaluation of mammals hunting in indigenous and rural localities in Eastern Brazilian Amazon. </w:t>
      </w:r>
      <w:proofErr w:type="spellStart"/>
      <w:r w:rsidRPr="00B04A17">
        <w:t>Ethnobiol</w:t>
      </w:r>
      <w:proofErr w:type="spellEnd"/>
      <w:r w:rsidRPr="00B04A17">
        <w:t xml:space="preserve"> </w:t>
      </w:r>
      <w:proofErr w:type="spellStart"/>
      <w:r w:rsidRPr="00B04A17">
        <w:t>Conserv</w:t>
      </w:r>
      <w:proofErr w:type="spellEnd"/>
      <w:r w:rsidRPr="00B04A17">
        <w:t xml:space="preserve">. 2015;4. </w:t>
      </w:r>
    </w:p>
    <w:p w14:paraId="14F96438" w14:textId="77777777" w:rsidR="00B04A17" w:rsidRPr="00B04A17" w:rsidRDefault="00B04A17" w:rsidP="0005259E">
      <w:pPr>
        <w:pStyle w:val="Bibliography"/>
      </w:pPr>
      <w:r w:rsidRPr="00B04A17">
        <w:t xml:space="preserve">4. </w:t>
      </w:r>
      <w:proofErr w:type="spellStart"/>
      <w:r w:rsidRPr="00B04A17">
        <w:t>Alvard</w:t>
      </w:r>
      <w:proofErr w:type="spellEnd"/>
      <w:r w:rsidRPr="00B04A17">
        <w:t xml:space="preserve"> M. Shotguns and sustainable hunting in the Neotropics. Oryx. 1995;29:58–66. </w:t>
      </w:r>
    </w:p>
    <w:p w14:paraId="3E8674E3" w14:textId="77777777" w:rsidR="00B04A17" w:rsidRPr="00B04A17" w:rsidRDefault="00B04A17" w:rsidP="0005259E">
      <w:pPr>
        <w:pStyle w:val="Bibliography"/>
      </w:pPr>
      <w:r w:rsidRPr="00B04A17">
        <w:t xml:space="preserve">5. Bowler M, </w:t>
      </w:r>
      <w:proofErr w:type="spellStart"/>
      <w:r w:rsidRPr="00B04A17">
        <w:t>Beirne</w:t>
      </w:r>
      <w:proofErr w:type="spellEnd"/>
      <w:r w:rsidRPr="00B04A17">
        <w:t xml:space="preserve"> C, Tobler MW, Anderson M, DiPaola A, Fa JE, et al. LED flashlight technology facilitates wild meat extraction across the tropics. Front </w:t>
      </w:r>
      <w:proofErr w:type="spellStart"/>
      <w:r w:rsidRPr="00B04A17">
        <w:t>Ecol</w:t>
      </w:r>
      <w:proofErr w:type="spellEnd"/>
      <w:r w:rsidRPr="00B04A17">
        <w:t xml:space="preserve"> Environ [Internet]. </w:t>
      </w:r>
      <w:r w:rsidRPr="00B04A17">
        <w:lastRenderedPageBreak/>
        <w:t>[cited 2020 Sep 10];n/a. Available from: https://esajournals.onlinelibrary.wiley.com/doi/abs/10.1002/fee.2242</w:t>
      </w:r>
    </w:p>
    <w:p w14:paraId="473EF950" w14:textId="77777777" w:rsidR="00B04A17" w:rsidRPr="00B04A17" w:rsidRDefault="00B04A17" w:rsidP="0005259E">
      <w:pPr>
        <w:pStyle w:val="Bibliography"/>
      </w:pPr>
      <w:r w:rsidRPr="00B04A17">
        <w:t xml:space="preserve">6. Ayotte JB, Parker KL, Arocena JM, </w:t>
      </w:r>
      <w:proofErr w:type="spellStart"/>
      <w:r w:rsidRPr="00B04A17">
        <w:t>Gillingham</w:t>
      </w:r>
      <w:proofErr w:type="spellEnd"/>
      <w:r w:rsidRPr="00B04A17">
        <w:t xml:space="preserve"> MP. Chemical composition of lick soils: functions of soil ingestion by four ungulate species. J Mammal. 2006;87:878–888. </w:t>
      </w:r>
    </w:p>
    <w:p w14:paraId="55EF4B87" w14:textId="77777777" w:rsidR="00B04A17" w:rsidRPr="00B04A17" w:rsidRDefault="00B04A17" w:rsidP="0005259E">
      <w:pPr>
        <w:pStyle w:val="Bibliography"/>
      </w:pPr>
      <w:r w:rsidRPr="00B04A17">
        <w:t xml:space="preserve">7. Wilson MJ. Clay mineralogical and related characteristics of </w:t>
      </w:r>
      <w:proofErr w:type="spellStart"/>
      <w:r w:rsidRPr="00B04A17">
        <w:t>geophagic</w:t>
      </w:r>
      <w:proofErr w:type="spellEnd"/>
      <w:r w:rsidRPr="00B04A17">
        <w:t xml:space="preserve"> materials. J Chem Ecol. 2003;29:1525–1547. </w:t>
      </w:r>
    </w:p>
    <w:p w14:paraId="58314F3C" w14:textId="77777777" w:rsidR="00B04A17" w:rsidRPr="00B04A17" w:rsidRDefault="00B04A17" w:rsidP="0005259E">
      <w:pPr>
        <w:pStyle w:val="Bibliography"/>
      </w:pPr>
      <w:r w:rsidRPr="00B04A17">
        <w:t>8. Tobler MW, Carrillo-</w:t>
      </w:r>
      <w:proofErr w:type="spellStart"/>
      <w:r w:rsidRPr="00B04A17">
        <w:t>Percastegui</w:t>
      </w:r>
      <w:proofErr w:type="spellEnd"/>
      <w:r w:rsidRPr="00B04A17">
        <w:t xml:space="preserve"> SE, Powell G. Habitat use, activity patterns and use of mineral licks by five species of ungulate in south-eastern Peru. J Trop Ecol. 2009;25:261–270. </w:t>
      </w:r>
    </w:p>
    <w:p w14:paraId="76B99ECA" w14:textId="77777777" w:rsidR="00B04A17" w:rsidRPr="00B04A17" w:rsidRDefault="00B04A17" w:rsidP="0005259E">
      <w:pPr>
        <w:pStyle w:val="Bibliography"/>
      </w:pPr>
      <w:r w:rsidRPr="00B04A17">
        <w:t xml:space="preserve">9. Blake JG, Mosquera D, Salvador J. Use of mineral licks by mammals and birds in hunted and non-hunted areas of Y </w:t>
      </w:r>
      <w:proofErr w:type="spellStart"/>
      <w:r w:rsidRPr="00B04A17">
        <w:t>asuní</w:t>
      </w:r>
      <w:proofErr w:type="spellEnd"/>
      <w:r w:rsidRPr="00B04A17">
        <w:t xml:space="preserve"> N </w:t>
      </w:r>
      <w:proofErr w:type="spellStart"/>
      <w:r w:rsidRPr="00B04A17">
        <w:t>ational</w:t>
      </w:r>
      <w:proofErr w:type="spellEnd"/>
      <w:r w:rsidRPr="00B04A17">
        <w:t xml:space="preserve"> P ark, E </w:t>
      </w:r>
      <w:proofErr w:type="spellStart"/>
      <w:r w:rsidRPr="00B04A17">
        <w:t>cuador</w:t>
      </w:r>
      <w:proofErr w:type="spellEnd"/>
      <w:r w:rsidRPr="00B04A17">
        <w:t xml:space="preserve">. </w:t>
      </w:r>
      <w:proofErr w:type="spellStart"/>
      <w:r w:rsidRPr="00B04A17">
        <w:t>Anim</w:t>
      </w:r>
      <w:proofErr w:type="spellEnd"/>
      <w:r w:rsidRPr="00B04A17">
        <w:t xml:space="preserve"> </w:t>
      </w:r>
      <w:proofErr w:type="spellStart"/>
      <w:r w:rsidRPr="00B04A17">
        <w:t>Conserv</w:t>
      </w:r>
      <w:proofErr w:type="spellEnd"/>
      <w:r w:rsidRPr="00B04A17">
        <w:t xml:space="preserve">. 2013;16:430–437. </w:t>
      </w:r>
    </w:p>
    <w:p w14:paraId="4A0D9E19" w14:textId="77777777" w:rsidR="00B04A17" w:rsidRPr="00B04A17" w:rsidRDefault="00B04A17" w:rsidP="0005259E">
      <w:pPr>
        <w:pStyle w:val="Bibliography"/>
      </w:pPr>
      <w:r w:rsidRPr="00B04A17">
        <w:t xml:space="preserve">10. Montenegro OL. Natural licks as keystone resources for wildlife and people in Amazonia. University of Florida; 2004. </w:t>
      </w:r>
    </w:p>
    <w:p w14:paraId="07770285" w14:textId="77777777" w:rsidR="00B04A17" w:rsidRPr="00B04A17" w:rsidRDefault="00B04A17" w:rsidP="0005259E">
      <w:pPr>
        <w:pStyle w:val="Bibliography"/>
      </w:pPr>
      <w:r w:rsidRPr="00B04A17">
        <w:t xml:space="preserve">11. Mayor P, El </w:t>
      </w:r>
      <w:proofErr w:type="spellStart"/>
      <w:r w:rsidRPr="00B04A17">
        <w:t>Bizri</w:t>
      </w:r>
      <w:proofErr w:type="spellEnd"/>
      <w:r w:rsidRPr="00B04A17">
        <w:t xml:space="preserve"> H, </w:t>
      </w:r>
      <w:proofErr w:type="spellStart"/>
      <w:r w:rsidRPr="00B04A17">
        <w:t>Bodmer</w:t>
      </w:r>
      <w:proofErr w:type="spellEnd"/>
      <w:r w:rsidRPr="00B04A17">
        <w:t xml:space="preserve"> RE, Bowler M. Assessment of mammal reproduction for hunting sustainability through community-based sampling of species in the wild. </w:t>
      </w:r>
      <w:proofErr w:type="spellStart"/>
      <w:r w:rsidRPr="00B04A17">
        <w:t>Conserv</w:t>
      </w:r>
      <w:proofErr w:type="spellEnd"/>
      <w:r w:rsidRPr="00B04A17">
        <w:t xml:space="preserve"> Biol. 2017;31:912–923. </w:t>
      </w:r>
    </w:p>
    <w:p w14:paraId="7BA86F32" w14:textId="77777777" w:rsidR="00B04A17" w:rsidRPr="00B04A17" w:rsidRDefault="00B04A17" w:rsidP="0005259E">
      <w:pPr>
        <w:pStyle w:val="Bibliography"/>
      </w:pPr>
      <w:r w:rsidRPr="00B04A17">
        <w:t xml:space="preserve">12. Tobler MW. The ecology of the lowland tapir in Madre de Dios, Peru: </w:t>
      </w:r>
      <w:proofErr w:type="spellStart"/>
      <w:r w:rsidRPr="00B04A17">
        <w:t>Usingnew</w:t>
      </w:r>
      <w:proofErr w:type="spellEnd"/>
      <w:r w:rsidRPr="00B04A17">
        <w:t xml:space="preserve"> technologies to study large rainforest mammals. Texas A&amp;M University; 2008. </w:t>
      </w:r>
    </w:p>
    <w:p w14:paraId="07BECAED" w14:textId="77777777" w:rsidR="00B04A17" w:rsidRPr="00B04A17" w:rsidRDefault="00B04A17" w:rsidP="0005259E">
      <w:pPr>
        <w:pStyle w:val="Bibliography"/>
      </w:pPr>
      <w:r w:rsidRPr="00B04A17">
        <w:t xml:space="preserve">13. Gilmore MP. The </w:t>
      </w:r>
      <w:proofErr w:type="spellStart"/>
      <w:r w:rsidRPr="00B04A17">
        <w:t>Maijuna</w:t>
      </w:r>
      <w:proofErr w:type="spellEnd"/>
      <w:r w:rsidRPr="00B04A17">
        <w:t xml:space="preserve">: past, present, and future. Perú </w:t>
      </w:r>
      <w:proofErr w:type="spellStart"/>
      <w:r w:rsidRPr="00B04A17">
        <w:t>Maijuna</w:t>
      </w:r>
      <w:proofErr w:type="spellEnd"/>
      <w:r w:rsidRPr="00B04A17">
        <w:t xml:space="preserve"> Rapid Biol Soc Invent Rep. 2010;22:226–233. </w:t>
      </w:r>
    </w:p>
    <w:p w14:paraId="3D7BA005" w14:textId="77777777" w:rsidR="00B04A17" w:rsidRPr="00B04A17" w:rsidRDefault="00B04A17" w:rsidP="0005259E">
      <w:pPr>
        <w:pStyle w:val="Bibliography"/>
      </w:pPr>
      <w:r w:rsidRPr="00B04A17">
        <w:t xml:space="preserve">14. Gilmore MP, </w:t>
      </w:r>
      <w:proofErr w:type="spellStart"/>
      <w:r w:rsidRPr="00B04A17">
        <w:t>Vriesendorp</w:t>
      </w:r>
      <w:proofErr w:type="spellEnd"/>
      <w:r w:rsidRPr="00B04A17">
        <w:t xml:space="preserve"> C, </w:t>
      </w:r>
      <w:proofErr w:type="spellStart"/>
      <w:r w:rsidRPr="00B04A17">
        <w:t>Alverson</w:t>
      </w:r>
      <w:proofErr w:type="spellEnd"/>
      <w:r w:rsidRPr="00B04A17">
        <w:t xml:space="preserve"> WS, Von May R, Wong CL, Ochoa SR. Perú: </w:t>
      </w:r>
      <w:proofErr w:type="spellStart"/>
      <w:r w:rsidRPr="00B04A17">
        <w:t>Maijuna</w:t>
      </w:r>
      <w:proofErr w:type="spellEnd"/>
      <w:r w:rsidRPr="00B04A17">
        <w:t xml:space="preserve">. Field Museum, Environment, Culture and Conservation; 2010. </w:t>
      </w:r>
    </w:p>
    <w:p w14:paraId="4AB6A2F4" w14:textId="77777777" w:rsidR="00B04A17" w:rsidRPr="00B04A17" w:rsidRDefault="00B04A17" w:rsidP="0005259E">
      <w:pPr>
        <w:pStyle w:val="Bibliography"/>
      </w:pPr>
      <w:r w:rsidRPr="00B04A17">
        <w:t xml:space="preserve">15. </w:t>
      </w:r>
      <w:proofErr w:type="spellStart"/>
      <w:r w:rsidRPr="00B04A17">
        <w:t>Roncal</w:t>
      </w:r>
      <w:proofErr w:type="spellEnd"/>
      <w:r w:rsidRPr="00B04A17">
        <w:t xml:space="preserve"> CM, Bowler M, Gilmore MP. The </w:t>
      </w:r>
      <w:proofErr w:type="spellStart"/>
      <w:r w:rsidRPr="00B04A17">
        <w:t>ethnoprimatology</w:t>
      </w:r>
      <w:proofErr w:type="spellEnd"/>
      <w:r w:rsidRPr="00B04A17">
        <w:t xml:space="preserve"> of the </w:t>
      </w:r>
      <w:proofErr w:type="spellStart"/>
      <w:r w:rsidRPr="00B04A17">
        <w:t>Maijuna</w:t>
      </w:r>
      <w:proofErr w:type="spellEnd"/>
      <w:r w:rsidRPr="00B04A17">
        <w:t xml:space="preserve"> of the Peruvian Amazon and implications for primate conservation. J </w:t>
      </w:r>
      <w:proofErr w:type="spellStart"/>
      <w:r w:rsidRPr="00B04A17">
        <w:t>Ethnobiol</w:t>
      </w:r>
      <w:proofErr w:type="spellEnd"/>
      <w:r w:rsidRPr="00B04A17">
        <w:t xml:space="preserve"> Ethnomedicine. 2018;14:19. </w:t>
      </w:r>
    </w:p>
    <w:p w14:paraId="5B963AE3" w14:textId="77777777" w:rsidR="00B04A17" w:rsidRPr="00B04A17" w:rsidRDefault="00B04A17" w:rsidP="0005259E">
      <w:pPr>
        <w:pStyle w:val="Bibliography"/>
      </w:pPr>
      <w:r w:rsidRPr="00B04A17">
        <w:t xml:space="preserve">16. Gilmore MP. An ethnoecological and ethnobotanical study of the </w:t>
      </w:r>
      <w:proofErr w:type="spellStart"/>
      <w:r w:rsidRPr="00B04A17">
        <w:t>Maijuna</w:t>
      </w:r>
      <w:proofErr w:type="spellEnd"/>
      <w:r w:rsidRPr="00B04A17">
        <w:t xml:space="preserve"> Indians of the Peruvian Amazon [PhD Thesis]. Miami University; 2005. </w:t>
      </w:r>
    </w:p>
    <w:p w14:paraId="2D5E04E9" w14:textId="77777777" w:rsidR="00B04A17" w:rsidRPr="00B04A17" w:rsidRDefault="00B04A17" w:rsidP="0005259E">
      <w:pPr>
        <w:pStyle w:val="Bibliography"/>
      </w:pPr>
      <w:r w:rsidRPr="00B04A17">
        <w:t xml:space="preserve">17. </w:t>
      </w:r>
      <w:proofErr w:type="spellStart"/>
      <w:r w:rsidRPr="00B04A17">
        <w:t>Vriesendorp</w:t>
      </w:r>
      <w:proofErr w:type="spellEnd"/>
      <w:r w:rsidRPr="00B04A17">
        <w:t xml:space="preserve"> C, Foster R. Regional overview, overflight, inventory sites, and human communities visited. Perú </w:t>
      </w:r>
      <w:proofErr w:type="spellStart"/>
      <w:r w:rsidRPr="00B04A17">
        <w:t>Maijuna</w:t>
      </w:r>
      <w:proofErr w:type="spellEnd"/>
      <w:r w:rsidRPr="00B04A17">
        <w:t xml:space="preserve"> Rapid Biol Soc Invent Rep. 2010;22:171–75. </w:t>
      </w:r>
    </w:p>
    <w:p w14:paraId="0AEF2E72" w14:textId="77777777" w:rsidR="00B04A17" w:rsidRPr="00B04A17" w:rsidRDefault="00B04A17" w:rsidP="0005259E">
      <w:pPr>
        <w:pStyle w:val="Bibliography"/>
      </w:pPr>
      <w:r w:rsidRPr="00B04A17">
        <w:t xml:space="preserve">18. Marengo J. </w:t>
      </w:r>
      <w:proofErr w:type="spellStart"/>
      <w:r w:rsidRPr="00B04A17">
        <w:t>Climatología</w:t>
      </w:r>
      <w:proofErr w:type="spellEnd"/>
      <w:r w:rsidRPr="00B04A17">
        <w:t xml:space="preserve"> de la zona de Iquitos, Perú. </w:t>
      </w:r>
      <w:proofErr w:type="spellStart"/>
      <w:r w:rsidRPr="00B04A17">
        <w:t>Geoecologia</w:t>
      </w:r>
      <w:proofErr w:type="spellEnd"/>
      <w:r w:rsidRPr="00B04A17">
        <w:t xml:space="preserve"> </w:t>
      </w:r>
      <w:proofErr w:type="spellStart"/>
      <w:r w:rsidRPr="00B04A17">
        <w:t>Desarro</w:t>
      </w:r>
      <w:proofErr w:type="spellEnd"/>
      <w:r w:rsidRPr="00B04A17">
        <w:t xml:space="preserve"> </w:t>
      </w:r>
      <w:proofErr w:type="spellStart"/>
      <w:r w:rsidRPr="00B04A17">
        <w:t>Amaz</w:t>
      </w:r>
      <w:proofErr w:type="spellEnd"/>
      <w:r w:rsidRPr="00B04A17">
        <w:t xml:space="preserve"> </w:t>
      </w:r>
      <w:proofErr w:type="spellStart"/>
      <w:r w:rsidRPr="00B04A17">
        <w:t>Estud</w:t>
      </w:r>
      <w:proofErr w:type="spellEnd"/>
      <w:r w:rsidRPr="00B04A17">
        <w:t xml:space="preserve"> </w:t>
      </w:r>
      <w:proofErr w:type="spellStart"/>
      <w:r w:rsidRPr="00B04A17">
        <w:t>Integrado</w:t>
      </w:r>
      <w:proofErr w:type="spellEnd"/>
      <w:r w:rsidRPr="00B04A17">
        <w:t xml:space="preserve"> </w:t>
      </w:r>
      <w:proofErr w:type="spellStart"/>
      <w:r w:rsidRPr="00B04A17">
        <w:t>En</w:t>
      </w:r>
      <w:proofErr w:type="spellEnd"/>
      <w:r w:rsidRPr="00B04A17">
        <w:t xml:space="preserve"> Zona Iquitos Peru Univ Turku Press Turku </w:t>
      </w:r>
      <w:proofErr w:type="spellStart"/>
      <w:r w:rsidRPr="00B04A17">
        <w:t>Finl</w:t>
      </w:r>
      <w:proofErr w:type="spellEnd"/>
      <w:r w:rsidRPr="00B04A17">
        <w:t xml:space="preserve">. 1998;35–57. </w:t>
      </w:r>
    </w:p>
    <w:p w14:paraId="14D5900D" w14:textId="77777777" w:rsidR="00B04A17" w:rsidRPr="00B04A17" w:rsidRDefault="00B04A17" w:rsidP="0005259E">
      <w:pPr>
        <w:pStyle w:val="Bibliography"/>
      </w:pPr>
      <w:r w:rsidRPr="00B04A17">
        <w:t xml:space="preserve">19. Bernard HR. Research methods in anthropology: Qualitative and quantitative approaches. Rowman &amp; Littlefield; 2017. </w:t>
      </w:r>
    </w:p>
    <w:p w14:paraId="600404E2" w14:textId="77777777" w:rsidR="00B04A17" w:rsidRPr="00B04A17" w:rsidRDefault="00B04A17" w:rsidP="0005259E">
      <w:pPr>
        <w:pStyle w:val="Bibliography"/>
      </w:pPr>
      <w:r w:rsidRPr="00B04A17">
        <w:t xml:space="preserve">20. Gilmore MP, Young JC. The </w:t>
      </w:r>
      <w:proofErr w:type="spellStart"/>
      <w:r w:rsidRPr="00B04A17">
        <w:t>Maijuna</w:t>
      </w:r>
      <w:proofErr w:type="spellEnd"/>
      <w:r w:rsidRPr="00B04A17">
        <w:t xml:space="preserve"> participatory mapping project: mapping the past and the present for the future. Perú </w:t>
      </w:r>
      <w:proofErr w:type="spellStart"/>
      <w:r w:rsidRPr="00B04A17">
        <w:t>Maijuna</w:t>
      </w:r>
      <w:proofErr w:type="spellEnd"/>
      <w:r w:rsidRPr="00B04A17">
        <w:t xml:space="preserve"> Rapid Biol Soc Invent Rep. 2010;22:233–242. </w:t>
      </w:r>
    </w:p>
    <w:p w14:paraId="153C3ADB" w14:textId="77777777" w:rsidR="00B04A17" w:rsidRPr="00B04A17" w:rsidRDefault="00B04A17" w:rsidP="0005259E">
      <w:pPr>
        <w:pStyle w:val="Bibliography"/>
      </w:pPr>
      <w:r w:rsidRPr="00B04A17">
        <w:lastRenderedPageBreak/>
        <w:t xml:space="preserve">21. Gilmore MP, Young JC. The Use of Participatory Mapping in Ethnobiological Research, Biocultural Conservation, and Community Empowerment: A Case Study From the Peruvian Amazon. J </w:t>
      </w:r>
      <w:proofErr w:type="spellStart"/>
      <w:r w:rsidRPr="00B04A17">
        <w:t>Ethnobiol</w:t>
      </w:r>
      <w:proofErr w:type="spellEnd"/>
      <w:r w:rsidRPr="00B04A17">
        <w:t xml:space="preserve">. 2012;32:6–29. </w:t>
      </w:r>
    </w:p>
    <w:p w14:paraId="42AA947D" w14:textId="77777777" w:rsidR="00B04A17" w:rsidRPr="00B04A17" w:rsidRDefault="00B04A17" w:rsidP="0005259E">
      <w:pPr>
        <w:pStyle w:val="Bibliography"/>
      </w:pPr>
      <w:r w:rsidRPr="00B04A17">
        <w:t xml:space="preserve">22. Corbin J, Strauss A. Basics of qualitative research: Techniques and procedures for developing grounded theory. Sage publications; 2014. </w:t>
      </w:r>
    </w:p>
    <w:p w14:paraId="250F4A57" w14:textId="77777777" w:rsidR="00B04A17" w:rsidRPr="00B04A17" w:rsidRDefault="00B04A17" w:rsidP="0005259E">
      <w:pPr>
        <w:pStyle w:val="Bibliography"/>
      </w:pPr>
      <w:r w:rsidRPr="00B04A17">
        <w:t xml:space="preserve">23. Molina E, León TE, </w:t>
      </w:r>
      <w:proofErr w:type="spellStart"/>
      <w:r w:rsidRPr="00B04A17">
        <w:t>Armenteras</w:t>
      </w:r>
      <w:proofErr w:type="spellEnd"/>
      <w:r w:rsidRPr="00B04A17">
        <w:t xml:space="preserve"> D. Characteristics of natural salt licks located in the Colombian Amazon foothills. Environ Geochem Health. 2014;36:117–129. </w:t>
      </w:r>
    </w:p>
    <w:p w14:paraId="56A3B7A8" w14:textId="77777777" w:rsidR="00B04A17" w:rsidRPr="00B04A17" w:rsidRDefault="00B04A17" w:rsidP="0005259E">
      <w:pPr>
        <w:pStyle w:val="Bibliography"/>
      </w:pPr>
      <w:r w:rsidRPr="00B04A17">
        <w:t xml:space="preserve">24. Fleck DW, Harder JD. </w:t>
      </w:r>
      <w:proofErr w:type="spellStart"/>
      <w:r w:rsidRPr="00B04A17">
        <w:t>Matses</w:t>
      </w:r>
      <w:proofErr w:type="spellEnd"/>
      <w:r w:rsidRPr="00B04A17">
        <w:t xml:space="preserve"> Indian rainforest habitat classification and mammalian diversity in Amazonian Peru. J </w:t>
      </w:r>
      <w:proofErr w:type="spellStart"/>
      <w:r w:rsidRPr="00B04A17">
        <w:t>Ethnobiol</w:t>
      </w:r>
      <w:proofErr w:type="spellEnd"/>
      <w:r w:rsidRPr="00B04A17">
        <w:t xml:space="preserve">. 2000;20:1–36. </w:t>
      </w:r>
    </w:p>
    <w:p w14:paraId="61C98FE1" w14:textId="77777777" w:rsidR="00B04A17" w:rsidRPr="00B04A17" w:rsidRDefault="00B04A17" w:rsidP="0005259E">
      <w:pPr>
        <w:pStyle w:val="Bibliography"/>
      </w:pPr>
      <w:r w:rsidRPr="00B04A17">
        <w:t xml:space="preserve">25. Shepard G, Yu DW, </w:t>
      </w:r>
      <w:proofErr w:type="spellStart"/>
      <w:r w:rsidRPr="00B04A17">
        <w:t>Lizarralde</w:t>
      </w:r>
      <w:proofErr w:type="spellEnd"/>
      <w:r w:rsidRPr="00B04A17">
        <w:t xml:space="preserve"> M, </w:t>
      </w:r>
      <w:proofErr w:type="spellStart"/>
      <w:r w:rsidRPr="00B04A17">
        <w:t>Italiano</w:t>
      </w:r>
      <w:proofErr w:type="spellEnd"/>
      <w:r w:rsidRPr="00B04A17">
        <w:t xml:space="preserve"> M. Rain forest habitat classification among the </w:t>
      </w:r>
      <w:proofErr w:type="spellStart"/>
      <w:r w:rsidRPr="00B04A17">
        <w:t>Matsigenka</w:t>
      </w:r>
      <w:proofErr w:type="spellEnd"/>
      <w:r w:rsidRPr="00B04A17">
        <w:t xml:space="preserve"> of the Peruvian Amazon. J </w:t>
      </w:r>
      <w:proofErr w:type="spellStart"/>
      <w:r w:rsidRPr="00B04A17">
        <w:t>Ethnobiol</w:t>
      </w:r>
      <w:proofErr w:type="spellEnd"/>
      <w:r w:rsidRPr="00B04A17">
        <w:t xml:space="preserve">. 2001;21:1–38. </w:t>
      </w:r>
    </w:p>
    <w:p w14:paraId="0CA1A181" w14:textId="77777777" w:rsidR="00B04A17" w:rsidRPr="00B04A17" w:rsidRDefault="00B04A17" w:rsidP="0005259E">
      <w:pPr>
        <w:pStyle w:val="Bibliography"/>
      </w:pPr>
      <w:r w:rsidRPr="00B04A17">
        <w:t xml:space="preserve">26. Posey DA. A preliminary report on diversified management of tropical forest by the Kayapo Indians of the Brazilian Amazon. Adv Econ Bot. 1984;1:112–126. </w:t>
      </w:r>
    </w:p>
    <w:p w14:paraId="2FBD8185" w14:textId="77777777" w:rsidR="00B04A17" w:rsidRPr="00B04A17" w:rsidRDefault="00B04A17" w:rsidP="0005259E">
      <w:pPr>
        <w:pStyle w:val="Bibliography"/>
      </w:pPr>
      <w:r w:rsidRPr="00B04A17">
        <w:t xml:space="preserve">27. Young JC, Gilmore MP. The spatial politics of affect and emotion in participatory GIS. Ann Assoc Am </w:t>
      </w:r>
      <w:proofErr w:type="spellStart"/>
      <w:r w:rsidRPr="00B04A17">
        <w:t>Geogr</w:t>
      </w:r>
      <w:proofErr w:type="spellEnd"/>
      <w:r w:rsidRPr="00B04A17">
        <w:t xml:space="preserve">. 2013;103:808–823. </w:t>
      </w:r>
    </w:p>
    <w:p w14:paraId="141E92E0" w14:textId="77777777" w:rsidR="00B04A17" w:rsidRPr="00B04A17" w:rsidRDefault="00B04A17" w:rsidP="0005259E">
      <w:pPr>
        <w:pStyle w:val="Bibliography"/>
      </w:pPr>
      <w:r w:rsidRPr="00B04A17">
        <w:t xml:space="preserve">28. Young JC, Gilmore MP. Subaltern empowerment in the </w:t>
      </w:r>
      <w:proofErr w:type="spellStart"/>
      <w:r w:rsidRPr="00B04A17">
        <w:t>Geoweb</w:t>
      </w:r>
      <w:proofErr w:type="spellEnd"/>
      <w:r w:rsidRPr="00B04A17">
        <w:t xml:space="preserve">: Tensions between publicity and privacy. Antipode. 2014;46:574–591. </w:t>
      </w:r>
    </w:p>
    <w:p w14:paraId="73F560C1" w14:textId="77777777" w:rsidR="00B04A17" w:rsidRPr="00B04A17" w:rsidRDefault="00B04A17" w:rsidP="0005259E">
      <w:pPr>
        <w:pStyle w:val="Bibliography"/>
      </w:pPr>
      <w:r w:rsidRPr="00B04A17">
        <w:t xml:space="preserve">29. Young J, Gilmore M. participatory uses of geospatial technologies to leverage multiple knowledge systems within development contexts: A case study from the </w:t>
      </w:r>
      <w:proofErr w:type="spellStart"/>
      <w:r w:rsidRPr="00B04A17">
        <w:t>peruvian</w:t>
      </w:r>
      <w:proofErr w:type="spellEnd"/>
      <w:r w:rsidRPr="00B04A17">
        <w:t xml:space="preserve"> amazon. World Dev. 2017;93:389–401. </w:t>
      </w:r>
    </w:p>
    <w:p w14:paraId="278DD3F6" w14:textId="77777777" w:rsidR="00B04A17" w:rsidRPr="00B04A17" w:rsidRDefault="00B04A17" w:rsidP="0005259E">
      <w:pPr>
        <w:pStyle w:val="Bibliography"/>
      </w:pPr>
      <w:r w:rsidRPr="00B04A17">
        <w:t xml:space="preserve">30. Gilmore MP, Endress BA, Horn CM. The socio-cultural importance of Mauritia </w:t>
      </w:r>
      <w:proofErr w:type="spellStart"/>
      <w:r w:rsidRPr="00B04A17">
        <w:t>flexuosa</w:t>
      </w:r>
      <w:proofErr w:type="spellEnd"/>
      <w:r w:rsidRPr="00B04A17">
        <w:t xml:space="preserve"> palm swamps (</w:t>
      </w:r>
      <w:proofErr w:type="spellStart"/>
      <w:r w:rsidRPr="00B04A17">
        <w:t>aguajales</w:t>
      </w:r>
      <w:proofErr w:type="spellEnd"/>
      <w:r w:rsidRPr="00B04A17">
        <w:t xml:space="preserve">) and implications for multi-use management in two </w:t>
      </w:r>
      <w:proofErr w:type="spellStart"/>
      <w:r w:rsidRPr="00B04A17">
        <w:t>Maijuna</w:t>
      </w:r>
      <w:proofErr w:type="spellEnd"/>
      <w:r w:rsidRPr="00B04A17">
        <w:t xml:space="preserve"> communities of the Peruvian Amazon. J </w:t>
      </w:r>
      <w:proofErr w:type="spellStart"/>
      <w:r w:rsidRPr="00B04A17">
        <w:t>Ethnobiol</w:t>
      </w:r>
      <w:proofErr w:type="spellEnd"/>
      <w:r w:rsidRPr="00B04A17">
        <w:t xml:space="preserve"> Ethnomedicine. 2013;9:29. </w:t>
      </w:r>
    </w:p>
    <w:p w14:paraId="070943FC" w14:textId="77777777" w:rsidR="00B04A17" w:rsidRPr="00B04A17" w:rsidRDefault="00B04A17" w:rsidP="0005259E">
      <w:pPr>
        <w:pStyle w:val="Bibliography"/>
      </w:pPr>
      <w:r w:rsidRPr="00B04A17">
        <w:t xml:space="preserve">31. Wingfield A, Gilmore MP. Three Days of Masato. ISLE </w:t>
      </w:r>
      <w:proofErr w:type="spellStart"/>
      <w:r w:rsidRPr="00B04A17">
        <w:t>Interdiscip</w:t>
      </w:r>
      <w:proofErr w:type="spellEnd"/>
      <w:r w:rsidRPr="00B04A17">
        <w:t xml:space="preserve"> Stud Lit Environ. 2019; </w:t>
      </w:r>
    </w:p>
    <w:p w14:paraId="0981D632" w14:textId="77777777" w:rsidR="00B04A17" w:rsidRPr="00B04A17" w:rsidRDefault="00B04A17" w:rsidP="0005259E">
      <w:pPr>
        <w:pStyle w:val="Bibliography"/>
      </w:pPr>
      <w:r w:rsidRPr="00B04A17">
        <w:t xml:space="preserve">32. </w:t>
      </w:r>
      <w:proofErr w:type="spellStart"/>
      <w:r w:rsidRPr="00B04A17">
        <w:t>Bellier</w:t>
      </w:r>
      <w:proofErr w:type="spellEnd"/>
      <w:r w:rsidRPr="00B04A17">
        <w:t xml:space="preserve"> I. Los Pueblos </w:t>
      </w:r>
      <w:proofErr w:type="spellStart"/>
      <w:r w:rsidRPr="00B04A17">
        <w:t>Indios</w:t>
      </w:r>
      <w:proofErr w:type="spellEnd"/>
      <w:r w:rsidRPr="00B04A17">
        <w:t xml:space="preserve"> </w:t>
      </w:r>
      <w:proofErr w:type="spellStart"/>
      <w:r w:rsidRPr="00B04A17">
        <w:t>En</w:t>
      </w:r>
      <w:proofErr w:type="spellEnd"/>
      <w:r w:rsidRPr="00B04A17">
        <w:t xml:space="preserve"> Sus </w:t>
      </w:r>
      <w:proofErr w:type="spellStart"/>
      <w:r w:rsidRPr="00B04A17">
        <w:t>Mitos</w:t>
      </w:r>
      <w:proofErr w:type="spellEnd"/>
      <w:r w:rsidRPr="00B04A17">
        <w:t>: Mai-</w:t>
      </w:r>
      <w:proofErr w:type="spellStart"/>
      <w:r w:rsidRPr="00B04A17">
        <w:t>huna</w:t>
      </w:r>
      <w:proofErr w:type="spellEnd"/>
      <w:r w:rsidRPr="00B04A17">
        <w:t xml:space="preserve"> [Internet]. Editorial </w:t>
      </w:r>
      <w:proofErr w:type="spellStart"/>
      <w:r w:rsidRPr="00B04A17">
        <w:t>Abya</w:t>
      </w:r>
      <w:proofErr w:type="spellEnd"/>
      <w:r w:rsidRPr="00B04A17">
        <w:t xml:space="preserve"> </w:t>
      </w:r>
      <w:proofErr w:type="spellStart"/>
      <w:r w:rsidRPr="00B04A17">
        <w:t>Yala</w:t>
      </w:r>
      <w:proofErr w:type="spellEnd"/>
      <w:r w:rsidRPr="00B04A17">
        <w:t>; 1993 [cited 2012 Dec 19]. Available from: http://books.google.com/books?hl=en&amp;lr=&amp;id=GFwRPa38nskC&amp;oi=fnd&amp;pg=PA9&amp;dq=Mai-huna+Tomo+I&amp;ots=HVPBVtQ-hh&amp;sig=IYNN_oOzQpO8J5FXzwTFCbNAUoQ</w:t>
      </w:r>
    </w:p>
    <w:p w14:paraId="5502DFC1" w14:textId="77777777" w:rsidR="00B04A17" w:rsidRPr="00B04A17" w:rsidRDefault="00B04A17" w:rsidP="0005259E">
      <w:pPr>
        <w:pStyle w:val="Bibliography"/>
      </w:pPr>
      <w:r w:rsidRPr="00B04A17">
        <w:t xml:space="preserve">33. </w:t>
      </w:r>
      <w:proofErr w:type="spellStart"/>
      <w:r w:rsidRPr="00B04A17">
        <w:t>Bellier</w:t>
      </w:r>
      <w:proofErr w:type="spellEnd"/>
      <w:r w:rsidRPr="00B04A17">
        <w:t xml:space="preserve"> I. Los Mai Huna, Tucano </w:t>
      </w:r>
      <w:proofErr w:type="spellStart"/>
      <w:r w:rsidRPr="00B04A17">
        <w:t>occidentales</w:t>
      </w:r>
      <w:proofErr w:type="spellEnd"/>
      <w:r w:rsidRPr="00B04A17">
        <w:t xml:space="preserve">. In: Santos F, Barclay F, editors. </w:t>
      </w:r>
      <w:proofErr w:type="spellStart"/>
      <w:r w:rsidRPr="00B04A17">
        <w:t>Guía</w:t>
      </w:r>
      <w:proofErr w:type="spellEnd"/>
      <w:r w:rsidRPr="00B04A17">
        <w:t xml:space="preserve"> </w:t>
      </w:r>
      <w:proofErr w:type="spellStart"/>
      <w:r w:rsidRPr="00B04A17">
        <w:t>Etnográfica</w:t>
      </w:r>
      <w:proofErr w:type="spellEnd"/>
      <w:r w:rsidRPr="00B04A17">
        <w:t xml:space="preserve"> Alta </w:t>
      </w:r>
      <w:proofErr w:type="spellStart"/>
      <w:r w:rsidRPr="00B04A17">
        <w:t>Amaz</w:t>
      </w:r>
      <w:proofErr w:type="spellEnd"/>
      <w:r w:rsidRPr="00B04A17">
        <w:t xml:space="preserve"> [Internet]. Quito: FLACSO-SEDE; 1994 [cited 2012 Dec 19]. p. 1–180. Available from: http://www.ifeanet.org/publicaciones/articulo.php?codart=196</w:t>
      </w:r>
    </w:p>
    <w:p w14:paraId="6A4ED3AA" w14:textId="77777777" w:rsidR="00B04A17" w:rsidRPr="00B04A17" w:rsidRDefault="00B04A17" w:rsidP="0005259E">
      <w:pPr>
        <w:pStyle w:val="Bibliography"/>
      </w:pPr>
      <w:r w:rsidRPr="00B04A17">
        <w:t xml:space="preserve">34. Reyes-García V, </w:t>
      </w:r>
      <w:proofErr w:type="spellStart"/>
      <w:r w:rsidRPr="00B04A17">
        <w:t>Paneque-Gálvez</w:t>
      </w:r>
      <w:proofErr w:type="spellEnd"/>
      <w:r w:rsidRPr="00B04A17">
        <w:t xml:space="preserve"> J, Luz AC, </w:t>
      </w:r>
      <w:proofErr w:type="spellStart"/>
      <w:r w:rsidRPr="00B04A17">
        <w:t>Gueze</w:t>
      </w:r>
      <w:proofErr w:type="spellEnd"/>
      <w:r w:rsidRPr="00B04A17">
        <w:t xml:space="preserve"> M, </w:t>
      </w:r>
      <w:proofErr w:type="spellStart"/>
      <w:r w:rsidRPr="00B04A17">
        <w:t>Macía</w:t>
      </w:r>
      <w:proofErr w:type="spellEnd"/>
      <w:r w:rsidRPr="00B04A17">
        <w:t xml:space="preserve"> MJ, </w:t>
      </w:r>
      <w:proofErr w:type="spellStart"/>
      <w:r w:rsidRPr="00B04A17">
        <w:t>Orta</w:t>
      </w:r>
      <w:proofErr w:type="spellEnd"/>
      <w:r w:rsidRPr="00B04A17">
        <w:t xml:space="preserve">-Martínez M, et al. Cultural change and traditional ecological knowledge. An empirical analysis from the </w:t>
      </w:r>
      <w:proofErr w:type="spellStart"/>
      <w:r w:rsidRPr="00B04A17">
        <w:t>Tsimane’in</w:t>
      </w:r>
      <w:proofErr w:type="spellEnd"/>
      <w:r w:rsidRPr="00B04A17">
        <w:t xml:space="preserve"> the Bolivian Amazon. Hum Organ. 2014;73:162. </w:t>
      </w:r>
    </w:p>
    <w:p w14:paraId="6D1B17D1" w14:textId="77777777" w:rsidR="00B04A17" w:rsidRPr="00B04A17" w:rsidRDefault="00B04A17" w:rsidP="0005259E">
      <w:pPr>
        <w:pStyle w:val="Bibliography"/>
      </w:pPr>
      <w:r w:rsidRPr="00B04A17">
        <w:lastRenderedPageBreak/>
        <w:t xml:space="preserve">35. Hames RB. A comparison of the efficiencies of the shotgun and the bow in neotropical forest hunting. Hum Ecol. 1979;7:219–52. </w:t>
      </w:r>
    </w:p>
    <w:p w14:paraId="436D9ED1" w14:textId="77777777" w:rsidR="00B04A17" w:rsidRPr="00B04A17" w:rsidRDefault="00B04A17" w:rsidP="0005259E">
      <w:pPr>
        <w:pStyle w:val="Bibliography"/>
      </w:pPr>
      <w:r w:rsidRPr="00B04A17">
        <w:t xml:space="preserve">36. Dallam HE. The Growing Voice of Indigenous Peoples: Their Use of Storytelling and Rights Discourse to Transform Multilateral Development Bank Policies. </w:t>
      </w:r>
      <w:proofErr w:type="spellStart"/>
      <w:r w:rsidRPr="00B04A17">
        <w:t>Ariz</w:t>
      </w:r>
      <w:proofErr w:type="spellEnd"/>
      <w:r w:rsidRPr="00B04A17">
        <w:t xml:space="preserve"> J Int Comp Law. 1991;8:117. </w:t>
      </w:r>
    </w:p>
    <w:p w14:paraId="5F72955C" w14:textId="77777777" w:rsidR="00B04A17" w:rsidRPr="00B04A17" w:rsidRDefault="00B04A17" w:rsidP="0005259E">
      <w:pPr>
        <w:pStyle w:val="Bibliography"/>
      </w:pPr>
      <w:r w:rsidRPr="00B04A17">
        <w:t xml:space="preserve">37. Martin GJ. Ethnobotany: A methods manual. London: Chapman &amp; Hall; 1995. </w:t>
      </w:r>
    </w:p>
    <w:p w14:paraId="49D8D7AB" w14:textId="77777777" w:rsidR="00B04A17" w:rsidRPr="00B04A17" w:rsidRDefault="00B04A17" w:rsidP="0005259E">
      <w:pPr>
        <w:pStyle w:val="Bibliography"/>
      </w:pPr>
      <w:r w:rsidRPr="00B04A17">
        <w:t xml:space="preserve">38. Bennett D. Stepping from the diagram: Australian aboriginal cultural and spiritual values relating to biodiversity. In: Posey DA, editor. Cult Spirit Values </w:t>
      </w:r>
      <w:proofErr w:type="spellStart"/>
      <w:r w:rsidRPr="00B04A17">
        <w:t>Biodivers</w:t>
      </w:r>
      <w:proofErr w:type="spellEnd"/>
      <w:r w:rsidRPr="00B04A17">
        <w:t xml:space="preserve">. London: UNEP and Intermediate Technology Publications; 1999. p. 103–5. </w:t>
      </w:r>
    </w:p>
    <w:p w14:paraId="1ED68E85" w14:textId="77777777" w:rsidR="00B04A17" w:rsidRPr="00B04A17" w:rsidRDefault="00B04A17" w:rsidP="0005259E">
      <w:pPr>
        <w:pStyle w:val="Bibliography"/>
      </w:pPr>
      <w:r w:rsidRPr="00B04A17">
        <w:t xml:space="preserve">39. Posey DA, </w:t>
      </w:r>
      <w:proofErr w:type="spellStart"/>
      <w:r w:rsidRPr="00B04A17">
        <w:t>Dutfield</w:t>
      </w:r>
      <w:proofErr w:type="spellEnd"/>
      <w:r w:rsidRPr="00B04A17">
        <w:t xml:space="preserve"> G, Centre (Canada) IDR. Beyond Intellectual Property: Toward Traditional Resource Rights for Indigenous Peoples and Local Communities. IDRC; 1996. </w:t>
      </w:r>
    </w:p>
    <w:p w14:paraId="28263E2A" w14:textId="77777777" w:rsidR="00B04A17" w:rsidRPr="00B04A17" w:rsidRDefault="00B04A17" w:rsidP="0005259E">
      <w:pPr>
        <w:pStyle w:val="Bibliography"/>
      </w:pPr>
      <w:r w:rsidRPr="00B04A17">
        <w:t xml:space="preserve">40. Nakashima D, Roué M. Indigenous knowledge, peoples and sustainable practice. </w:t>
      </w:r>
      <w:proofErr w:type="spellStart"/>
      <w:r w:rsidRPr="00B04A17">
        <w:t>Encycl</w:t>
      </w:r>
      <w:proofErr w:type="spellEnd"/>
      <w:r w:rsidRPr="00B04A17">
        <w:t xml:space="preserve"> Glob Environ Change. 2002;5:314–24. </w:t>
      </w:r>
    </w:p>
    <w:p w14:paraId="5E2B8D6C" w14:textId="77777777" w:rsidR="00B04A17" w:rsidRPr="00B04A17" w:rsidRDefault="00B04A17" w:rsidP="0005259E">
      <w:pPr>
        <w:pStyle w:val="Bibliography"/>
      </w:pPr>
      <w:r w:rsidRPr="00B04A17">
        <w:t xml:space="preserve">41. </w:t>
      </w:r>
      <w:proofErr w:type="spellStart"/>
      <w:r w:rsidRPr="00B04A17">
        <w:t>Berkes</w:t>
      </w:r>
      <w:proofErr w:type="spellEnd"/>
      <w:r w:rsidRPr="00B04A17">
        <w:t xml:space="preserve"> F, </w:t>
      </w:r>
      <w:proofErr w:type="spellStart"/>
      <w:r w:rsidRPr="00B04A17">
        <w:t>Colding</w:t>
      </w:r>
      <w:proofErr w:type="spellEnd"/>
      <w:r w:rsidRPr="00B04A17">
        <w:t xml:space="preserve"> J, </w:t>
      </w:r>
      <w:proofErr w:type="spellStart"/>
      <w:r w:rsidRPr="00B04A17">
        <w:t>Folke</w:t>
      </w:r>
      <w:proofErr w:type="spellEnd"/>
      <w:r w:rsidRPr="00B04A17">
        <w:t xml:space="preserve"> C. Rediscovery of traditional ecological knowledge as adaptive management. </w:t>
      </w:r>
      <w:proofErr w:type="spellStart"/>
      <w:r w:rsidRPr="00B04A17">
        <w:t>Ecol</w:t>
      </w:r>
      <w:proofErr w:type="spellEnd"/>
      <w:r w:rsidRPr="00B04A17">
        <w:t xml:space="preserve"> Appl. 2000;10:1251–1262. </w:t>
      </w:r>
    </w:p>
    <w:p w14:paraId="47DD62F7" w14:textId="77777777" w:rsidR="00B04A17" w:rsidRPr="00B04A17" w:rsidRDefault="00B04A17" w:rsidP="0005259E">
      <w:pPr>
        <w:pStyle w:val="Bibliography"/>
      </w:pPr>
      <w:r w:rsidRPr="00B04A17">
        <w:t xml:space="preserve">42. </w:t>
      </w:r>
      <w:proofErr w:type="spellStart"/>
      <w:r w:rsidRPr="00B04A17">
        <w:t>Berkes</w:t>
      </w:r>
      <w:proofErr w:type="spellEnd"/>
      <w:r w:rsidRPr="00B04A17">
        <w:t xml:space="preserve"> F, </w:t>
      </w:r>
      <w:proofErr w:type="spellStart"/>
      <w:r w:rsidRPr="00B04A17">
        <w:t>Folke</w:t>
      </w:r>
      <w:proofErr w:type="spellEnd"/>
      <w:r w:rsidRPr="00B04A17">
        <w:t xml:space="preserve"> C, </w:t>
      </w:r>
      <w:proofErr w:type="spellStart"/>
      <w:r w:rsidRPr="00B04A17">
        <w:t>Colding</w:t>
      </w:r>
      <w:proofErr w:type="spellEnd"/>
      <w:r w:rsidRPr="00B04A17">
        <w:t xml:space="preserve"> J. Linking social and ecological systems: management practices and social mechanisms for building resilience. Cambridge University Press; 2000. </w:t>
      </w:r>
    </w:p>
    <w:p w14:paraId="132A8BCE" w14:textId="77777777" w:rsidR="00B04A17" w:rsidRPr="00B04A17" w:rsidRDefault="00B04A17" w:rsidP="0005259E">
      <w:pPr>
        <w:pStyle w:val="Bibliography"/>
      </w:pPr>
      <w:r w:rsidRPr="00B04A17">
        <w:t xml:space="preserve">43. Redford KH, </w:t>
      </w:r>
      <w:proofErr w:type="spellStart"/>
      <w:r w:rsidRPr="00B04A17">
        <w:t>Stearman</w:t>
      </w:r>
      <w:proofErr w:type="spellEnd"/>
      <w:r w:rsidRPr="00B04A17">
        <w:t xml:space="preserve"> AM. Forest-Dwelling Native Amazonians and the Conservation of Biodiversity: Interests in Common or in Collision? </w:t>
      </w:r>
      <w:proofErr w:type="spellStart"/>
      <w:r w:rsidRPr="00B04A17">
        <w:t>Conserv</w:t>
      </w:r>
      <w:proofErr w:type="spellEnd"/>
      <w:r w:rsidRPr="00B04A17">
        <w:t xml:space="preserve"> Biol. 1993;7:248–55. </w:t>
      </w:r>
    </w:p>
    <w:p w14:paraId="62420ACB" w14:textId="77777777" w:rsidR="00B04A17" w:rsidRPr="00B04A17" w:rsidRDefault="00B04A17" w:rsidP="0005259E">
      <w:pPr>
        <w:pStyle w:val="Bibliography"/>
      </w:pPr>
      <w:r w:rsidRPr="00B04A17">
        <w:t xml:space="preserve">44. Charnley S, Fischer AP, Jones ET. Integrating traditional and local ecological knowledge into forest biodiversity conservation in the Pacific Northwest. For </w:t>
      </w:r>
      <w:proofErr w:type="spellStart"/>
      <w:r w:rsidRPr="00B04A17">
        <w:t>Ecol</w:t>
      </w:r>
      <w:proofErr w:type="spellEnd"/>
      <w:r w:rsidRPr="00B04A17">
        <w:t xml:space="preserve"> </w:t>
      </w:r>
      <w:proofErr w:type="spellStart"/>
      <w:r w:rsidRPr="00B04A17">
        <w:t>Manag</w:t>
      </w:r>
      <w:proofErr w:type="spellEnd"/>
      <w:r w:rsidRPr="00B04A17">
        <w:t xml:space="preserve">. 2007;246:14–28. </w:t>
      </w:r>
    </w:p>
    <w:p w14:paraId="1AA4E6FD" w14:textId="77777777" w:rsidR="00B04A17" w:rsidRPr="00B04A17" w:rsidRDefault="00B04A17" w:rsidP="0005259E">
      <w:pPr>
        <w:pStyle w:val="Bibliography"/>
      </w:pPr>
      <w:r w:rsidRPr="00B04A17">
        <w:t xml:space="preserve">45. Prado HM, Murrieta RSS, Adams C, </w:t>
      </w:r>
      <w:proofErr w:type="spellStart"/>
      <w:r w:rsidRPr="00B04A17">
        <w:t>Brondizio</w:t>
      </w:r>
      <w:proofErr w:type="spellEnd"/>
      <w:r w:rsidRPr="00B04A17">
        <w:t xml:space="preserve"> ES. Local and scientific knowledge for assessing the use of fallows and mature forest by large mammals in SE Brazil: identifying singularities in </w:t>
      </w:r>
      <w:proofErr w:type="spellStart"/>
      <w:r w:rsidRPr="00B04A17">
        <w:t>folkecology</w:t>
      </w:r>
      <w:proofErr w:type="spellEnd"/>
      <w:r w:rsidRPr="00B04A17">
        <w:t xml:space="preserve">. J </w:t>
      </w:r>
      <w:proofErr w:type="spellStart"/>
      <w:r w:rsidRPr="00B04A17">
        <w:t>Ethnobiol</w:t>
      </w:r>
      <w:proofErr w:type="spellEnd"/>
      <w:r w:rsidRPr="00B04A17">
        <w:t xml:space="preserve"> Ethnomedicine. 2014;10:7. </w:t>
      </w:r>
    </w:p>
    <w:p w14:paraId="433E3833" w14:textId="77777777" w:rsidR="00B04A17" w:rsidRPr="00B04A17" w:rsidRDefault="00B04A17" w:rsidP="0005259E">
      <w:pPr>
        <w:pStyle w:val="Bibliography"/>
      </w:pPr>
      <w:r w:rsidRPr="00B04A17">
        <w:t xml:space="preserve">46. Parry L, Peres CA. Evaluating the use of local ecological knowledge to monitor hunted tropical-forest wildlife over large spatial scales. </w:t>
      </w:r>
      <w:proofErr w:type="spellStart"/>
      <w:r w:rsidRPr="00B04A17">
        <w:t>Ecol</w:t>
      </w:r>
      <w:proofErr w:type="spellEnd"/>
      <w:r w:rsidRPr="00B04A17">
        <w:t xml:space="preserve"> Soc [Internet]. 2015 [cited 2020 May 8];20. Available from: https://www.jstor.org/stable/26270233</w:t>
      </w:r>
    </w:p>
    <w:p w14:paraId="44FED086" w14:textId="77777777" w:rsidR="00B04A17" w:rsidRPr="00B04A17" w:rsidRDefault="00B04A17" w:rsidP="0005259E">
      <w:pPr>
        <w:pStyle w:val="Bibliography"/>
      </w:pPr>
      <w:r w:rsidRPr="00B04A17">
        <w:t xml:space="preserve">47. </w:t>
      </w:r>
      <w:proofErr w:type="spellStart"/>
      <w:r w:rsidRPr="00B04A17">
        <w:t>Hiraoka</w:t>
      </w:r>
      <w:proofErr w:type="spellEnd"/>
      <w:r w:rsidRPr="00B04A17">
        <w:t xml:space="preserve"> M. Changing floodplain livelihood patterns in the Peruvian Amazon. Tsukuba Stud Hum </w:t>
      </w:r>
      <w:proofErr w:type="spellStart"/>
      <w:r w:rsidRPr="00B04A17">
        <w:t>Geogr</w:t>
      </w:r>
      <w:proofErr w:type="spellEnd"/>
      <w:r w:rsidRPr="00B04A17">
        <w:t xml:space="preserve">. 1985;9:243–75. </w:t>
      </w:r>
    </w:p>
    <w:p w14:paraId="7E926FE7" w14:textId="77777777" w:rsidR="00B04A17" w:rsidRPr="00B04A17" w:rsidRDefault="00B04A17" w:rsidP="0005259E">
      <w:pPr>
        <w:pStyle w:val="Bibliography"/>
      </w:pPr>
      <w:r w:rsidRPr="00B04A17">
        <w:t xml:space="preserve">48. </w:t>
      </w:r>
      <w:proofErr w:type="spellStart"/>
      <w:r w:rsidRPr="00B04A17">
        <w:t>Padoch</w:t>
      </w:r>
      <w:proofErr w:type="spellEnd"/>
      <w:r w:rsidRPr="00B04A17">
        <w:t xml:space="preserve"> C. People of the floodplain and forest. In: </w:t>
      </w:r>
      <w:proofErr w:type="spellStart"/>
      <w:r w:rsidRPr="00B04A17">
        <w:t>Deslow</w:t>
      </w:r>
      <w:proofErr w:type="spellEnd"/>
      <w:r w:rsidRPr="00B04A17">
        <w:t xml:space="preserve"> JS, </w:t>
      </w:r>
      <w:proofErr w:type="spellStart"/>
      <w:r w:rsidRPr="00B04A17">
        <w:t>Padoch</w:t>
      </w:r>
      <w:proofErr w:type="spellEnd"/>
      <w:r w:rsidRPr="00B04A17">
        <w:t xml:space="preserve"> C, editors. People Trop Rain For. Berkeley: University of California Press; 1988. p. 127–140. </w:t>
      </w:r>
    </w:p>
    <w:p w14:paraId="52DBFF35" w14:textId="77777777" w:rsidR="00B04A17" w:rsidRPr="00B04A17" w:rsidRDefault="00B04A17" w:rsidP="0005259E">
      <w:pPr>
        <w:pStyle w:val="Bibliography"/>
      </w:pPr>
      <w:r w:rsidRPr="00B04A17">
        <w:t xml:space="preserve">49. </w:t>
      </w:r>
      <w:proofErr w:type="spellStart"/>
      <w:r w:rsidRPr="00B04A17">
        <w:t>Chibnik</w:t>
      </w:r>
      <w:proofErr w:type="spellEnd"/>
      <w:r w:rsidRPr="00B04A17">
        <w:t xml:space="preserve"> M. Risky rivers: the economics and politics of floodplain farming in Amazonia [Internet]. Tucson: University of Arizona Press; 1994 [cited 2012 Dec 20]. Available from: http://books.google.com/books?hl=en&amp;lr=&amp;id=egnW8u_-</w:t>
      </w:r>
      <w:r w:rsidRPr="00B04A17">
        <w:lastRenderedPageBreak/>
        <w:t>2QUC&amp;oi=fnd&amp;pg=PR10&amp;dq=Risky+rivers:+the+economics+and+politics+of+floodplain+farming+in+Amazonia.++&amp;ots=In7KY8rPRM&amp;sig=ASPCFgVrfyxQLpqjwqzPwmxVyus</w:t>
      </w:r>
    </w:p>
    <w:p w14:paraId="5CDA6BB2" w14:textId="77777777" w:rsidR="00B04A17" w:rsidRPr="00B04A17" w:rsidRDefault="00B04A17" w:rsidP="0005259E">
      <w:pPr>
        <w:pStyle w:val="Bibliography"/>
      </w:pPr>
      <w:r w:rsidRPr="00B04A17">
        <w:t xml:space="preserve">50. </w:t>
      </w:r>
      <w:proofErr w:type="spellStart"/>
      <w:r w:rsidRPr="00B04A17">
        <w:t>Coomes</w:t>
      </w:r>
      <w:proofErr w:type="spellEnd"/>
      <w:r w:rsidRPr="00B04A17">
        <w:t xml:space="preserve"> OT, Ban N. Cultivated plant species diversity in home gardens of an Amazonian peasant village in Northeastern Peru. Econ Bot. 2004;58:420–34. </w:t>
      </w:r>
    </w:p>
    <w:p w14:paraId="42626487" w14:textId="77777777" w:rsidR="00B04A17" w:rsidRPr="00B04A17" w:rsidRDefault="00B04A17" w:rsidP="0005259E">
      <w:pPr>
        <w:pStyle w:val="Bibliography"/>
      </w:pPr>
      <w:r w:rsidRPr="00B04A17">
        <w:t xml:space="preserve">51. Michael L, </w:t>
      </w:r>
      <w:proofErr w:type="spellStart"/>
      <w:r w:rsidRPr="00B04A17">
        <w:t>Beier</w:t>
      </w:r>
      <w:proofErr w:type="spellEnd"/>
      <w:r w:rsidRPr="00B04A17">
        <w:t xml:space="preserve"> C, Farmer S, Neely K, </w:t>
      </w:r>
      <w:proofErr w:type="spellStart"/>
      <w:r w:rsidRPr="00B04A17">
        <w:t>Skilton</w:t>
      </w:r>
      <w:proofErr w:type="spellEnd"/>
      <w:r w:rsidRPr="00B04A17">
        <w:t xml:space="preserve"> A, Finley G, et al. </w:t>
      </w:r>
      <w:proofErr w:type="spellStart"/>
      <w:r w:rsidRPr="00B04A17">
        <w:t>Diccionario</w:t>
      </w:r>
      <w:proofErr w:type="spellEnd"/>
      <w:r w:rsidRPr="00B04A17">
        <w:t xml:space="preserve"> </w:t>
      </w:r>
      <w:proofErr w:type="spellStart"/>
      <w:r w:rsidRPr="00B04A17">
        <w:t>Bilingüe</w:t>
      </w:r>
      <w:proofErr w:type="spellEnd"/>
      <w:r w:rsidRPr="00B04A17">
        <w:t xml:space="preserve"> </w:t>
      </w:r>
      <w:proofErr w:type="spellStart"/>
      <w:r w:rsidRPr="00B04A17">
        <w:t>máíjìkì</w:t>
      </w:r>
      <w:proofErr w:type="spellEnd"/>
      <w:r w:rsidRPr="00B04A17">
        <w:t>-castellano y castellano-</w:t>
      </w:r>
      <w:proofErr w:type="spellStart"/>
      <w:r w:rsidRPr="00B04A17">
        <w:t>máíjìkì</w:t>
      </w:r>
      <w:proofErr w:type="spellEnd"/>
      <w:r w:rsidRPr="00B04A17">
        <w:t xml:space="preserve"> [Internet]. Iquitos: Cabeceras Aid Project; 2013. Available from: http://www.cabeceras.org/mai_ore_diccionario2013.pdf</w:t>
      </w:r>
    </w:p>
    <w:p w14:paraId="76CB98BE" w14:textId="1C809F27" w:rsidR="006B6189" w:rsidRDefault="0017089E" w:rsidP="0005259E">
      <w:pPr>
        <w:pStyle w:val="Bibliography"/>
      </w:pPr>
      <w:r>
        <w:fldChar w:fldCharType="end"/>
      </w:r>
      <w:r w:rsidR="006B6189">
        <w:br w:type="page"/>
      </w:r>
    </w:p>
    <w:p w14:paraId="2B858611" w14:textId="568F1D21" w:rsidR="006D3D5C" w:rsidRDefault="006B6189" w:rsidP="00220F08">
      <w:pPr>
        <w:spacing w:line="480" w:lineRule="auto"/>
      </w:pPr>
      <w:r w:rsidRPr="00C77CB4">
        <w:lastRenderedPageBreak/>
        <w:t>Figure 1</w:t>
      </w:r>
      <w:r w:rsidR="0032304D">
        <w:t>.</w:t>
      </w:r>
      <w:r>
        <w:t xml:space="preserve"> </w:t>
      </w:r>
      <w:r w:rsidR="0032304D">
        <w:t xml:space="preserve">Map of the study area, including </w:t>
      </w:r>
      <w:r w:rsidR="00E9691E">
        <w:t>all</w:t>
      </w:r>
      <w:r w:rsidR="0032304D">
        <w:t xml:space="preserve"> four </w:t>
      </w:r>
      <w:proofErr w:type="spellStart"/>
      <w:r w:rsidR="0032304D">
        <w:t>Maijuna</w:t>
      </w:r>
      <w:proofErr w:type="spellEnd"/>
      <w:r w:rsidR="0032304D">
        <w:t xml:space="preserve"> communities and the </w:t>
      </w:r>
      <w:proofErr w:type="spellStart"/>
      <w:r w:rsidR="0032304D">
        <w:t>Maijuna-Kichwa</w:t>
      </w:r>
      <w:proofErr w:type="spellEnd"/>
      <w:r w:rsidR="0032304D">
        <w:t xml:space="preserve"> Regional Conservation Area (MKRCA). All field research was conducted in the </w:t>
      </w:r>
      <w:proofErr w:type="spellStart"/>
      <w:r w:rsidR="0032304D">
        <w:t>Maijuna</w:t>
      </w:r>
      <w:proofErr w:type="spellEnd"/>
      <w:r w:rsidR="0032304D">
        <w:t xml:space="preserve"> community of </w:t>
      </w:r>
      <w:proofErr w:type="spellStart"/>
      <w:r w:rsidR="0032304D">
        <w:t>Sucusari</w:t>
      </w:r>
      <w:proofErr w:type="spellEnd"/>
      <w:r w:rsidR="0032304D">
        <w:t>.</w:t>
      </w:r>
      <w:r w:rsidR="0036783D">
        <w:t xml:space="preserve"> </w:t>
      </w:r>
      <w:r w:rsidR="006D3D5C">
        <w:br w:type="page"/>
      </w:r>
    </w:p>
    <w:p w14:paraId="26A732DA" w14:textId="78B2C7ED" w:rsidR="00CA6E55" w:rsidRDefault="006D3D5C" w:rsidP="00220F08">
      <w:pPr>
        <w:spacing w:line="480" w:lineRule="auto"/>
      </w:pPr>
      <w:r w:rsidRPr="008C0B59">
        <w:lastRenderedPageBreak/>
        <w:t xml:space="preserve">Figure 2. </w:t>
      </w:r>
      <w:r w:rsidR="00253912" w:rsidRPr="008C0B59">
        <w:t xml:space="preserve">Forty-three mineral licks </w:t>
      </w:r>
      <w:r w:rsidR="003E3996" w:rsidRPr="008C0B59">
        <w:t xml:space="preserve">visited by hunters in the </w:t>
      </w:r>
      <w:proofErr w:type="spellStart"/>
      <w:r w:rsidR="003E3996" w:rsidRPr="008C0B59">
        <w:t>Sucusari</w:t>
      </w:r>
      <w:proofErr w:type="spellEnd"/>
      <w:r w:rsidR="003E3996" w:rsidRPr="008C0B59">
        <w:t xml:space="preserve"> River basin during an 11-month period from August 2018-June 2019</w:t>
      </w:r>
      <w:r w:rsidR="002D2380" w:rsidRPr="008C0B59">
        <w:t>. Mineral licks are divided by family use.</w:t>
      </w:r>
      <w:r w:rsidR="00CA6E55">
        <w:br w:type="page"/>
      </w:r>
    </w:p>
    <w:p w14:paraId="4B90009D" w14:textId="48D02D38" w:rsidR="00CA6E55" w:rsidRDefault="00CA6E55" w:rsidP="00220F08">
      <w:pPr>
        <w:spacing w:line="480" w:lineRule="auto"/>
      </w:pPr>
      <w:r w:rsidRPr="00DE307E">
        <w:lastRenderedPageBreak/>
        <w:t>Figure 3.</w:t>
      </w:r>
      <w:r>
        <w:t xml:space="preserve"> </w:t>
      </w:r>
      <w:r w:rsidR="00CE3174">
        <w:t xml:space="preserve">Portion of a </w:t>
      </w:r>
      <w:r w:rsidR="00923C49">
        <w:t xml:space="preserve">participatory map drawn by </w:t>
      </w:r>
      <w:proofErr w:type="spellStart"/>
      <w:r w:rsidR="00923C49">
        <w:t>Sucusari</w:t>
      </w:r>
      <w:proofErr w:type="spellEnd"/>
      <w:r w:rsidR="00923C49">
        <w:t xml:space="preserve"> community members in 2004</w:t>
      </w:r>
      <w:r w:rsidR="00CE3174">
        <w:t xml:space="preserve">. </w:t>
      </w:r>
      <w:r w:rsidR="00923C49">
        <w:t>Participants</w:t>
      </w:r>
      <w:r w:rsidR="00711C1A">
        <w:t xml:space="preserve"> chose the</w:t>
      </w:r>
      <w:r w:rsidR="0048512C">
        <w:t xml:space="preserve"> tapir symbol </w:t>
      </w:r>
      <w:r w:rsidR="00711C1A">
        <w:t>to indicate</w:t>
      </w:r>
      <w:r w:rsidR="0048512C">
        <w:t xml:space="preserve"> the location</w:t>
      </w:r>
      <w:r w:rsidR="007A353D">
        <w:t>s</w:t>
      </w:r>
      <w:r w:rsidR="0048512C">
        <w:t xml:space="preserve"> of mineral licks</w:t>
      </w:r>
      <w:r w:rsidR="00080072">
        <w:t xml:space="preserve"> throughout the river basin</w:t>
      </w:r>
      <w:r w:rsidR="0048512C">
        <w:t>.</w:t>
      </w:r>
      <w:r w:rsidR="00FA09E9">
        <w:t xml:space="preserve"> The traditional </w:t>
      </w:r>
      <w:proofErr w:type="spellStart"/>
      <w:r w:rsidR="00FC7582">
        <w:t>Maijuna</w:t>
      </w:r>
      <w:proofErr w:type="spellEnd"/>
      <w:r w:rsidR="00FC7582">
        <w:t xml:space="preserve"> </w:t>
      </w:r>
      <w:r w:rsidR="00FA09E9">
        <w:t>names of three mineral licks are indicated</w:t>
      </w:r>
      <w:r w:rsidR="007A353D">
        <w:t>.</w:t>
      </w:r>
    </w:p>
    <w:p w14:paraId="49033BFD" w14:textId="1C212C3C" w:rsidR="00BF48E2" w:rsidRDefault="00BF48E2" w:rsidP="00220F08">
      <w:pPr>
        <w:spacing w:line="480" w:lineRule="auto"/>
      </w:pPr>
    </w:p>
    <w:p w14:paraId="318C4DCC" w14:textId="77777777" w:rsidR="00381964" w:rsidRDefault="00381964" w:rsidP="00220F08">
      <w:pPr>
        <w:spacing w:line="480" w:lineRule="auto"/>
        <w:sectPr w:rsidR="00381964" w:rsidSect="008B0F4F">
          <w:footerReference w:type="even" r:id="rId7"/>
          <w:footerReference w:type="default" r:id="rId8"/>
          <w:type w:val="continuous"/>
          <w:pgSz w:w="12240" w:h="15840"/>
          <w:pgMar w:top="1440" w:right="1440" w:bottom="1440" w:left="1440" w:header="720" w:footer="720" w:gutter="0"/>
          <w:lnNumType w:countBy="1" w:restart="continuous"/>
          <w:cols w:space="720"/>
          <w:docGrid w:linePitch="360"/>
        </w:sectPr>
      </w:pPr>
    </w:p>
    <w:p w14:paraId="04FED300" w14:textId="312882C6" w:rsidR="00BF48E2" w:rsidRDefault="002F6D1B" w:rsidP="00D14EAF">
      <w:r w:rsidRPr="001E17BB">
        <w:lastRenderedPageBreak/>
        <w:t>Table 1.</w:t>
      </w:r>
      <w:r>
        <w:t xml:space="preserve"> </w:t>
      </w:r>
      <w:r w:rsidR="00381964">
        <w:t>Game animals</w:t>
      </w:r>
      <w:r>
        <w:t xml:space="preserve"> encountered and killed by the </w:t>
      </w:r>
      <w:proofErr w:type="spellStart"/>
      <w:r>
        <w:t>Maijuna</w:t>
      </w:r>
      <w:proofErr w:type="spellEnd"/>
      <w:r>
        <w:t xml:space="preserve"> at mineral licks </w:t>
      </w:r>
      <w:r w:rsidR="00CA2A04">
        <w:fldChar w:fldCharType="begin"/>
      </w:r>
      <w:r w:rsidR="00FD52E5">
        <w:instrText xml:space="preserve"> ADDIN ZOTERO_ITEM CSL_CITATION {"citationID":"EiopkVep","properties":{"formattedCitation":"[16]","plainCitation":"[16]","noteIndex":0},"citationItems":[{"id":2115,"uris":["http://zotero.org/users/1105362/items/JVU47FAQ"],"uri":["http://zotero.org/users/1105362/items/JVU47FAQ"],"itemData":{"id":2115,"type":"thesis","title":"An ethnoecological and ethnobotanical study of the Maijuna Indians of the Peruvian Amazon","publisher":"Miami University","genre":"PhD Thesis","source":"Google Scholar","author":[{"family":"Gilmore","given":"Michael Patrick"}],"issued":{"date-parts":[["2005"]]}}}],"schema":"https://github.com/citation-style-language/schema/raw/master/csl-citation.json"} </w:instrText>
      </w:r>
      <w:r w:rsidR="00CA2A04">
        <w:fldChar w:fldCharType="separate"/>
      </w:r>
      <w:r w:rsidR="00FD52E5">
        <w:rPr>
          <w:noProof/>
        </w:rPr>
        <w:t>[16]</w:t>
      </w:r>
      <w:r w:rsidR="00CA2A04">
        <w:fldChar w:fldCharType="end"/>
      </w:r>
      <w:r w:rsidR="00CA2A04">
        <w:fldChar w:fldCharType="begin"/>
      </w:r>
      <w:r w:rsidR="00FD52E5">
        <w:instrText xml:space="preserve"> ADDIN ZOTERO_ITEM CSL_CITATION {"citationID":"nKlUIu27","properties":{"formattedCitation":"[20]","plainCitation":"[20]","noteIndex":0},"citationItems":[{"id":2109,"uris":["http://zotero.org/users/1105362/items/6G2PKDHP"],"uri":["http://zotero.org/users/1105362/items/6G2PKDHP"],"itemData":{"id":2109,"type":"article-journal","title":"The Maijuna participatory mapping project: mapping the past and the present for the future","container-title":"Perú: Maijuna, Rapid biological and social inventories Report","page":"233–242","volume":"22","source":"Google Scholar","title-short":"The Maijuna participatory mapping project","author":[{"family":"Gilmore","given":"Michael P."},{"family":"Young","given":"Jason C."}],"issued":{"date-parts":[["2010"]]}}}],"schema":"https://github.com/citation-style-language/schema/raw/master/csl-citation.json"} </w:instrText>
      </w:r>
      <w:r w:rsidR="00CA2A04">
        <w:fldChar w:fldCharType="separate"/>
      </w:r>
      <w:r w:rsidR="00FD52E5">
        <w:rPr>
          <w:noProof/>
        </w:rPr>
        <w:t>[20]</w:t>
      </w:r>
      <w:r w:rsidR="00CA2A04">
        <w:fldChar w:fldCharType="end"/>
      </w:r>
      <w:r w:rsidR="00CA2A04">
        <w:fldChar w:fldCharType="begin"/>
      </w:r>
      <w:r w:rsidR="00FD52E5">
        <w:instrText xml:space="preserve"> ADDIN ZOTERO_ITEM CSL_CITATION {"citationID":"hqketl6H","properties":{"formattedCitation":"[21]","plainCitation":"[21]","noteIndex":0},"citationItems":[{"id":110,"uris":["http://zotero.org/users/1105362/items/KI5TDAHC"],"uri":["http://zotero.org/users/1105362/items/KI5TDAHC"],"itemData":{"id":110,"type":"article-journal","title":"The Use of Participatory Mapping in Ethnobiological Research, Biocultural Conservation, and Community Empowerment: A Case Study From the Peruvian Amazon","container-title":"Journal of Ethnobiology","page":"6-29","volume":"32","issue":"1","source":"BioOne","DOI":"10.2993/0278-0771-32.1.6","ISSN":"0278-0771","title-short":"The Use of Participatory Mapping in Ethnobiological Research, Biocultural Conservation, and Community Empowerment","journalAbbreviation":"Journal of Ethnobiology","author":[{"family":"Gilmore","given":"Michael P."},{"family":"Young","given":"Jason C."}],"issued":{"date-parts":[["2012",7,1]]}}}],"schema":"https://github.com/citation-style-language/schema/raw/master/csl-citation.json"} </w:instrText>
      </w:r>
      <w:r w:rsidR="00CA2A04">
        <w:fldChar w:fldCharType="separate"/>
      </w:r>
      <w:r w:rsidR="00FD52E5">
        <w:rPr>
          <w:noProof/>
        </w:rPr>
        <w:t>[21]</w:t>
      </w:r>
      <w:r w:rsidR="00CA2A04">
        <w:fldChar w:fldCharType="end"/>
      </w:r>
      <w:r>
        <w:t>.</w:t>
      </w:r>
    </w:p>
    <w:p w14:paraId="4FFA6F94" w14:textId="77777777" w:rsidR="003847E7" w:rsidRDefault="003847E7"/>
    <w:tbl>
      <w:tblPr>
        <w:tblW w:w="13068" w:type="dxa"/>
        <w:tblLook w:val="01E0" w:firstRow="1" w:lastRow="1" w:firstColumn="1" w:lastColumn="1" w:noHBand="0" w:noVBand="0"/>
      </w:tblPr>
      <w:tblGrid>
        <w:gridCol w:w="2302"/>
        <w:gridCol w:w="1878"/>
        <w:gridCol w:w="1598"/>
        <w:gridCol w:w="1800"/>
        <w:gridCol w:w="1800"/>
        <w:gridCol w:w="3690"/>
      </w:tblGrid>
      <w:tr w:rsidR="00381964" w:rsidRPr="003847E7" w14:paraId="5E75A9F0" w14:textId="77777777" w:rsidTr="00EE5134">
        <w:trPr>
          <w:cantSplit/>
          <w:tblHeader/>
        </w:trPr>
        <w:tc>
          <w:tcPr>
            <w:tcW w:w="2302" w:type="dxa"/>
            <w:tcBorders>
              <w:top w:val="single" w:sz="4" w:space="0" w:color="auto"/>
              <w:bottom w:val="single" w:sz="4" w:space="0" w:color="auto"/>
            </w:tcBorders>
          </w:tcPr>
          <w:p w14:paraId="725DEC0B" w14:textId="77777777" w:rsidR="00381964" w:rsidRPr="003847E7" w:rsidRDefault="00381964" w:rsidP="00EE5134">
            <w:pPr>
              <w:jc w:val="center"/>
              <w:rPr>
                <w:b/>
                <w:noProof/>
                <w:sz w:val="20"/>
                <w:szCs w:val="20"/>
              </w:rPr>
            </w:pPr>
            <w:r w:rsidRPr="003847E7">
              <w:rPr>
                <w:b/>
                <w:noProof/>
                <w:sz w:val="20"/>
                <w:szCs w:val="20"/>
              </w:rPr>
              <w:t>Species</w:t>
            </w:r>
          </w:p>
        </w:tc>
        <w:tc>
          <w:tcPr>
            <w:tcW w:w="1878" w:type="dxa"/>
            <w:tcBorders>
              <w:top w:val="single" w:sz="4" w:space="0" w:color="auto"/>
              <w:bottom w:val="single" w:sz="4" w:space="0" w:color="auto"/>
            </w:tcBorders>
          </w:tcPr>
          <w:p w14:paraId="18355850" w14:textId="77777777" w:rsidR="00381964" w:rsidRPr="003847E7" w:rsidRDefault="00381964" w:rsidP="00EE5134">
            <w:pPr>
              <w:ind w:left="79" w:hanging="79"/>
              <w:jc w:val="center"/>
              <w:rPr>
                <w:b/>
                <w:noProof/>
                <w:sz w:val="20"/>
                <w:szCs w:val="20"/>
                <w:lang w:val="es-PE"/>
              </w:rPr>
            </w:pPr>
            <w:r w:rsidRPr="003847E7">
              <w:rPr>
                <w:b/>
                <w:noProof/>
                <w:sz w:val="20"/>
                <w:szCs w:val="20"/>
              </w:rPr>
              <w:t>Maijuna name</w:t>
            </w:r>
          </w:p>
        </w:tc>
        <w:tc>
          <w:tcPr>
            <w:tcW w:w="1598" w:type="dxa"/>
            <w:tcBorders>
              <w:top w:val="single" w:sz="4" w:space="0" w:color="auto"/>
              <w:bottom w:val="single" w:sz="4" w:space="0" w:color="auto"/>
            </w:tcBorders>
          </w:tcPr>
          <w:p w14:paraId="5189A158" w14:textId="77777777" w:rsidR="00381964" w:rsidRPr="003847E7" w:rsidRDefault="00381964" w:rsidP="00EE5134">
            <w:pPr>
              <w:jc w:val="center"/>
              <w:rPr>
                <w:b/>
                <w:sz w:val="20"/>
                <w:szCs w:val="20"/>
                <w:lang w:val="es-PE"/>
              </w:rPr>
            </w:pPr>
            <w:r w:rsidRPr="003847E7">
              <w:rPr>
                <w:b/>
                <w:sz w:val="20"/>
                <w:szCs w:val="20"/>
                <w:lang w:val="es-PE"/>
              </w:rPr>
              <w:t xml:space="preserve">Local </w:t>
            </w:r>
            <w:proofErr w:type="spellStart"/>
            <w:r w:rsidRPr="003847E7">
              <w:rPr>
                <w:b/>
                <w:sz w:val="20"/>
                <w:szCs w:val="20"/>
                <w:lang w:val="es-PE"/>
              </w:rPr>
              <w:t>name</w:t>
            </w:r>
            <w:proofErr w:type="spellEnd"/>
          </w:p>
        </w:tc>
        <w:tc>
          <w:tcPr>
            <w:tcW w:w="1800" w:type="dxa"/>
            <w:tcBorders>
              <w:top w:val="single" w:sz="4" w:space="0" w:color="auto"/>
              <w:bottom w:val="single" w:sz="4" w:space="0" w:color="auto"/>
            </w:tcBorders>
          </w:tcPr>
          <w:p w14:paraId="27FF9439" w14:textId="77777777" w:rsidR="00381964" w:rsidRPr="003847E7" w:rsidRDefault="00381964" w:rsidP="00EE5134">
            <w:pPr>
              <w:ind w:left="79" w:hanging="79"/>
              <w:jc w:val="center"/>
              <w:rPr>
                <w:b/>
                <w:noProof/>
                <w:sz w:val="20"/>
                <w:szCs w:val="20"/>
                <w:lang w:val="es-PE"/>
              </w:rPr>
            </w:pPr>
            <w:r w:rsidRPr="003847E7">
              <w:rPr>
                <w:b/>
                <w:noProof/>
                <w:sz w:val="20"/>
                <w:szCs w:val="20"/>
                <w:lang w:val="es-PE"/>
              </w:rPr>
              <w:t>English name</w:t>
            </w:r>
          </w:p>
        </w:tc>
        <w:tc>
          <w:tcPr>
            <w:tcW w:w="1800" w:type="dxa"/>
            <w:tcBorders>
              <w:top w:val="single" w:sz="4" w:space="0" w:color="auto"/>
              <w:bottom w:val="single" w:sz="4" w:space="0" w:color="auto"/>
            </w:tcBorders>
          </w:tcPr>
          <w:p w14:paraId="12E60DBA" w14:textId="77777777" w:rsidR="00381964" w:rsidRPr="003847E7" w:rsidRDefault="00381964" w:rsidP="00EE5134">
            <w:pPr>
              <w:jc w:val="center"/>
              <w:rPr>
                <w:b/>
                <w:sz w:val="20"/>
                <w:szCs w:val="20"/>
              </w:rPr>
            </w:pPr>
            <w:r w:rsidRPr="003847E7">
              <w:rPr>
                <w:b/>
                <w:sz w:val="20"/>
                <w:szCs w:val="20"/>
              </w:rPr>
              <w:t>Time encountered (day/night)</w:t>
            </w:r>
          </w:p>
        </w:tc>
        <w:tc>
          <w:tcPr>
            <w:tcW w:w="3690" w:type="dxa"/>
            <w:tcBorders>
              <w:top w:val="single" w:sz="4" w:space="0" w:color="auto"/>
              <w:bottom w:val="single" w:sz="4" w:space="0" w:color="auto"/>
            </w:tcBorders>
          </w:tcPr>
          <w:p w14:paraId="1EA942D5" w14:textId="77777777" w:rsidR="00381964" w:rsidRPr="003847E7" w:rsidRDefault="00381964" w:rsidP="00EE5134">
            <w:pPr>
              <w:ind w:left="79" w:hanging="79"/>
              <w:jc w:val="center"/>
              <w:rPr>
                <w:b/>
                <w:sz w:val="20"/>
                <w:szCs w:val="20"/>
              </w:rPr>
            </w:pPr>
            <w:r w:rsidRPr="003847E7">
              <w:rPr>
                <w:b/>
                <w:sz w:val="20"/>
                <w:szCs w:val="20"/>
              </w:rPr>
              <w:t>Use</w:t>
            </w:r>
          </w:p>
        </w:tc>
      </w:tr>
      <w:tr w:rsidR="00381964" w:rsidRPr="003847E7" w14:paraId="3E374ED7" w14:textId="77777777" w:rsidTr="00EE5134">
        <w:trPr>
          <w:cantSplit/>
          <w:tblHeader/>
        </w:trPr>
        <w:tc>
          <w:tcPr>
            <w:tcW w:w="2302" w:type="dxa"/>
            <w:tcBorders>
              <w:top w:val="single" w:sz="4" w:space="0" w:color="auto"/>
            </w:tcBorders>
          </w:tcPr>
          <w:p w14:paraId="63053DBE" w14:textId="77777777" w:rsidR="00381964" w:rsidRPr="003847E7" w:rsidRDefault="00381964" w:rsidP="00EE5134">
            <w:pPr>
              <w:rPr>
                <w:sz w:val="20"/>
                <w:szCs w:val="20"/>
              </w:rPr>
            </w:pPr>
          </w:p>
        </w:tc>
        <w:tc>
          <w:tcPr>
            <w:tcW w:w="1878" w:type="dxa"/>
            <w:tcBorders>
              <w:top w:val="single" w:sz="4" w:space="0" w:color="auto"/>
            </w:tcBorders>
          </w:tcPr>
          <w:p w14:paraId="5B1E8EE5" w14:textId="77777777" w:rsidR="00381964" w:rsidRPr="003847E7" w:rsidRDefault="00381964" w:rsidP="00EE5134">
            <w:pPr>
              <w:ind w:left="79" w:hanging="79"/>
              <w:rPr>
                <w:sz w:val="20"/>
                <w:szCs w:val="20"/>
              </w:rPr>
            </w:pPr>
          </w:p>
        </w:tc>
        <w:tc>
          <w:tcPr>
            <w:tcW w:w="1598" w:type="dxa"/>
            <w:tcBorders>
              <w:top w:val="single" w:sz="4" w:space="0" w:color="auto"/>
            </w:tcBorders>
          </w:tcPr>
          <w:p w14:paraId="3E5CBE1C" w14:textId="77777777" w:rsidR="00381964" w:rsidRPr="003847E7" w:rsidRDefault="00381964" w:rsidP="00EE5134">
            <w:pPr>
              <w:rPr>
                <w:sz w:val="20"/>
                <w:szCs w:val="20"/>
                <w:lang w:val="es-PE"/>
              </w:rPr>
            </w:pPr>
          </w:p>
        </w:tc>
        <w:tc>
          <w:tcPr>
            <w:tcW w:w="1800" w:type="dxa"/>
            <w:tcBorders>
              <w:top w:val="single" w:sz="4" w:space="0" w:color="auto"/>
            </w:tcBorders>
          </w:tcPr>
          <w:p w14:paraId="06F606A0" w14:textId="77777777" w:rsidR="00381964" w:rsidRPr="003847E7" w:rsidRDefault="00381964" w:rsidP="00EE5134">
            <w:pPr>
              <w:rPr>
                <w:sz w:val="20"/>
                <w:szCs w:val="20"/>
                <w:lang w:val="es-PE"/>
              </w:rPr>
            </w:pPr>
          </w:p>
        </w:tc>
        <w:tc>
          <w:tcPr>
            <w:tcW w:w="1800" w:type="dxa"/>
            <w:tcBorders>
              <w:top w:val="single" w:sz="4" w:space="0" w:color="auto"/>
            </w:tcBorders>
          </w:tcPr>
          <w:p w14:paraId="2768E26C" w14:textId="77777777" w:rsidR="00381964" w:rsidRPr="003847E7" w:rsidRDefault="00381964" w:rsidP="00EE5134">
            <w:pPr>
              <w:rPr>
                <w:sz w:val="20"/>
                <w:szCs w:val="20"/>
              </w:rPr>
            </w:pPr>
          </w:p>
        </w:tc>
        <w:tc>
          <w:tcPr>
            <w:tcW w:w="3690" w:type="dxa"/>
            <w:tcBorders>
              <w:top w:val="single" w:sz="4" w:space="0" w:color="auto"/>
            </w:tcBorders>
          </w:tcPr>
          <w:p w14:paraId="7DC308D8" w14:textId="77777777" w:rsidR="00381964" w:rsidRPr="003847E7" w:rsidRDefault="00381964" w:rsidP="00EE5134">
            <w:pPr>
              <w:ind w:left="79" w:hanging="79"/>
              <w:rPr>
                <w:sz w:val="20"/>
                <w:szCs w:val="20"/>
              </w:rPr>
            </w:pPr>
          </w:p>
        </w:tc>
      </w:tr>
      <w:tr w:rsidR="00381964" w:rsidRPr="003847E7" w14:paraId="44C330CD" w14:textId="77777777" w:rsidTr="00EE5134">
        <w:trPr>
          <w:cantSplit/>
          <w:tblHeader/>
        </w:trPr>
        <w:tc>
          <w:tcPr>
            <w:tcW w:w="2302" w:type="dxa"/>
          </w:tcPr>
          <w:p w14:paraId="6AD8580F" w14:textId="77777777" w:rsidR="00381964" w:rsidRPr="003847E7" w:rsidRDefault="00381964" w:rsidP="00EE5134">
            <w:pPr>
              <w:rPr>
                <w:b/>
                <w:sz w:val="20"/>
                <w:szCs w:val="20"/>
                <w:u w:val="single"/>
              </w:rPr>
            </w:pPr>
            <w:r w:rsidRPr="003847E7">
              <w:rPr>
                <w:b/>
                <w:sz w:val="20"/>
                <w:szCs w:val="20"/>
                <w:u w:val="single"/>
              </w:rPr>
              <w:t>Birds</w:t>
            </w:r>
          </w:p>
        </w:tc>
        <w:tc>
          <w:tcPr>
            <w:tcW w:w="1878" w:type="dxa"/>
          </w:tcPr>
          <w:p w14:paraId="08B71C02" w14:textId="77777777" w:rsidR="00381964" w:rsidRPr="003847E7" w:rsidRDefault="00381964" w:rsidP="00EE5134">
            <w:pPr>
              <w:ind w:left="79" w:hanging="79"/>
              <w:rPr>
                <w:sz w:val="20"/>
                <w:szCs w:val="20"/>
              </w:rPr>
            </w:pPr>
          </w:p>
        </w:tc>
        <w:tc>
          <w:tcPr>
            <w:tcW w:w="1598" w:type="dxa"/>
          </w:tcPr>
          <w:p w14:paraId="73BA2335" w14:textId="77777777" w:rsidR="00381964" w:rsidRPr="003847E7" w:rsidRDefault="00381964" w:rsidP="00EE5134">
            <w:pPr>
              <w:rPr>
                <w:sz w:val="20"/>
                <w:szCs w:val="20"/>
                <w:lang w:val="es-PE"/>
              </w:rPr>
            </w:pPr>
          </w:p>
        </w:tc>
        <w:tc>
          <w:tcPr>
            <w:tcW w:w="1800" w:type="dxa"/>
          </w:tcPr>
          <w:p w14:paraId="46E5A815" w14:textId="77777777" w:rsidR="00381964" w:rsidRPr="003847E7" w:rsidRDefault="00381964" w:rsidP="00EE5134">
            <w:pPr>
              <w:rPr>
                <w:sz w:val="20"/>
                <w:szCs w:val="20"/>
                <w:lang w:val="es-PE"/>
              </w:rPr>
            </w:pPr>
          </w:p>
        </w:tc>
        <w:tc>
          <w:tcPr>
            <w:tcW w:w="1800" w:type="dxa"/>
          </w:tcPr>
          <w:p w14:paraId="736E02F8" w14:textId="77777777" w:rsidR="00381964" w:rsidRPr="003847E7" w:rsidRDefault="00381964" w:rsidP="00EE5134">
            <w:pPr>
              <w:rPr>
                <w:sz w:val="20"/>
                <w:szCs w:val="20"/>
              </w:rPr>
            </w:pPr>
          </w:p>
        </w:tc>
        <w:tc>
          <w:tcPr>
            <w:tcW w:w="3690" w:type="dxa"/>
          </w:tcPr>
          <w:p w14:paraId="5E74E006" w14:textId="77777777" w:rsidR="00381964" w:rsidRPr="003847E7" w:rsidRDefault="00381964" w:rsidP="00EE5134">
            <w:pPr>
              <w:ind w:left="79" w:hanging="79"/>
              <w:rPr>
                <w:sz w:val="20"/>
                <w:szCs w:val="20"/>
              </w:rPr>
            </w:pPr>
          </w:p>
        </w:tc>
      </w:tr>
      <w:tr w:rsidR="00381964" w:rsidRPr="003847E7" w14:paraId="320AA798" w14:textId="77777777" w:rsidTr="00EE5134">
        <w:trPr>
          <w:cantSplit/>
          <w:tblHeader/>
        </w:trPr>
        <w:tc>
          <w:tcPr>
            <w:tcW w:w="2302" w:type="dxa"/>
          </w:tcPr>
          <w:p w14:paraId="0F341486" w14:textId="77777777" w:rsidR="00381964" w:rsidRPr="003847E7" w:rsidRDefault="00381964" w:rsidP="00EE5134">
            <w:pPr>
              <w:rPr>
                <w:sz w:val="20"/>
                <w:szCs w:val="20"/>
              </w:rPr>
            </w:pPr>
          </w:p>
        </w:tc>
        <w:tc>
          <w:tcPr>
            <w:tcW w:w="1878" w:type="dxa"/>
          </w:tcPr>
          <w:p w14:paraId="5C04094F" w14:textId="77777777" w:rsidR="00381964" w:rsidRPr="003847E7" w:rsidRDefault="00381964" w:rsidP="00EE5134">
            <w:pPr>
              <w:ind w:left="79" w:hanging="79"/>
              <w:rPr>
                <w:sz w:val="20"/>
                <w:szCs w:val="20"/>
              </w:rPr>
            </w:pPr>
          </w:p>
        </w:tc>
        <w:tc>
          <w:tcPr>
            <w:tcW w:w="1598" w:type="dxa"/>
          </w:tcPr>
          <w:p w14:paraId="21E5F11F" w14:textId="77777777" w:rsidR="00381964" w:rsidRPr="003847E7" w:rsidRDefault="00381964" w:rsidP="00EE5134">
            <w:pPr>
              <w:rPr>
                <w:sz w:val="20"/>
                <w:szCs w:val="20"/>
                <w:lang w:val="es-PE"/>
              </w:rPr>
            </w:pPr>
          </w:p>
        </w:tc>
        <w:tc>
          <w:tcPr>
            <w:tcW w:w="1800" w:type="dxa"/>
          </w:tcPr>
          <w:p w14:paraId="0D5FE870" w14:textId="77777777" w:rsidR="00381964" w:rsidRPr="003847E7" w:rsidRDefault="00381964" w:rsidP="00EE5134">
            <w:pPr>
              <w:rPr>
                <w:sz w:val="20"/>
                <w:szCs w:val="20"/>
                <w:lang w:val="es-PE"/>
              </w:rPr>
            </w:pPr>
          </w:p>
        </w:tc>
        <w:tc>
          <w:tcPr>
            <w:tcW w:w="1800" w:type="dxa"/>
          </w:tcPr>
          <w:p w14:paraId="3364D0AD" w14:textId="77777777" w:rsidR="00381964" w:rsidRPr="003847E7" w:rsidRDefault="00381964" w:rsidP="00EE5134">
            <w:pPr>
              <w:rPr>
                <w:sz w:val="20"/>
                <w:szCs w:val="20"/>
              </w:rPr>
            </w:pPr>
          </w:p>
        </w:tc>
        <w:tc>
          <w:tcPr>
            <w:tcW w:w="3690" w:type="dxa"/>
          </w:tcPr>
          <w:p w14:paraId="3DA65B55" w14:textId="77777777" w:rsidR="00381964" w:rsidRPr="003847E7" w:rsidRDefault="00381964" w:rsidP="00EE5134">
            <w:pPr>
              <w:ind w:left="79" w:hanging="79"/>
              <w:rPr>
                <w:sz w:val="20"/>
                <w:szCs w:val="20"/>
              </w:rPr>
            </w:pPr>
          </w:p>
        </w:tc>
      </w:tr>
      <w:tr w:rsidR="00381964" w:rsidRPr="003847E7" w14:paraId="69C7C0DA" w14:textId="77777777" w:rsidTr="00EE5134">
        <w:trPr>
          <w:cantSplit/>
          <w:tblHeader/>
        </w:trPr>
        <w:tc>
          <w:tcPr>
            <w:tcW w:w="2302" w:type="dxa"/>
          </w:tcPr>
          <w:p w14:paraId="5DCC3248" w14:textId="77777777" w:rsidR="00381964" w:rsidRPr="003847E7" w:rsidRDefault="00381964" w:rsidP="00EE5134">
            <w:pPr>
              <w:rPr>
                <w:i/>
                <w:iCs/>
                <w:sz w:val="20"/>
                <w:szCs w:val="20"/>
              </w:rPr>
            </w:pPr>
            <w:proofErr w:type="spellStart"/>
            <w:r w:rsidRPr="003847E7">
              <w:rPr>
                <w:i/>
                <w:iCs/>
                <w:sz w:val="20"/>
                <w:szCs w:val="20"/>
              </w:rPr>
              <w:t>Pipile</w:t>
            </w:r>
            <w:proofErr w:type="spellEnd"/>
            <w:r w:rsidRPr="003847E7">
              <w:rPr>
                <w:i/>
                <w:iCs/>
                <w:sz w:val="20"/>
                <w:szCs w:val="20"/>
              </w:rPr>
              <w:t xml:space="preserve"> </w:t>
            </w:r>
            <w:proofErr w:type="spellStart"/>
            <w:r w:rsidRPr="003847E7">
              <w:rPr>
                <w:i/>
                <w:iCs/>
                <w:sz w:val="20"/>
                <w:szCs w:val="20"/>
              </w:rPr>
              <w:t>cumanensis</w:t>
            </w:r>
            <w:proofErr w:type="spellEnd"/>
          </w:p>
        </w:tc>
        <w:tc>
          <w:tcPr>
            <w:tcW w:w="1878" w:type="dxa"/>
          </w:tcPr>
          <w:p w14:paraId="7DB1D99B" w14:textId="287C6645" w:rsidR="00381964" w:rsidRPr="003847E7" w:rsidRDefault="006B3DBF" w:rsidP="00EE5134">
            <w:pPr>
              <w:ind w:left="79" w:hanging="79"/>
              <w:rPr>
                <w:b/>
                <w:i/>
                <w:noProof/>
                <w:sz w:val="20"/>
                <w:szCs w:val="20"/>
              </w:rPr>
            </w:pPr>
            <w:r>
              <w:rPr>
                <w:b/>
                <w:i/>
                <w:noProof/>
                <w:sz w:val="20"/>
                <w:szCs w:val="20"/>
              </w:rPr>
              <w:t>újé</w:t>
            </w:r>
          </w:p>
        </w:tc>
        <w:tc>
          <w:tcPr>
            <w:tcW w:w="1598" w:type="dxa"/>
          </w:tcPr>
          <w:p w14:paraId="2AF60D44" w14:textId="77777777" w:rsidR="00381964" w:rsidRPr="003847E7" w:rsidRDefault="00381964" w:rsidP="00EE5134">
            <w:pPr>
              <w:ind w:left="79" w:hanging="79"/>
              <w:rPr>
                <w:i/>
                <w:sz w:val="20"/>
                <w:szCs w:val="20"/>
              </w:rPr>
            </w:pPr>
            <w:r w:rsidRPr="003847E7">
              <w:rPr>
                <w:i/>
                <w:sz w:val="20"/>
                <w:szCs w:val="20"/>
                <w:lang w:val="es-PE"/>
              </w:rPr>
              <w:t>pava</w:t>
            </w:r>
          </w:p>
        </w:tc>
        <w:tc>
          <w:tcPr>
            <w:tcW w:w="1800" w:type="dxa"/>
          </w:tcPr>
          <w:p w14:paraId="3C67AA38" w14:textId="77777777" w:rsidR="00381964" w:rsidRPr="003847E7" w:rsidRDefault="00381964" w:rsidP="00EE5134">
            <w:pPr>
              <w:ind w:left="79" w:hanging="79"/>
              <w:rPr>
                <w:sz w:val="20"/>
                <w:szCs w:val="20"/>
              </w:rPr>
            </w:pPr>
            <w:r w:rsidRPr="003847E7">
              <w:rPr>
                <w:sz w:val="20"/>
                <w:szCs w:val="20"/>
              </w:rPr>
              <w:t>blue-throated piping-guan</w:t>
            </w:r>
          </w:p>
        </w:tc>
        <w:tc>
          <w:tcPr>
            <w:tcW w:w="1800" w:type="dxa"/>
          </w:tcPr>
          <w:p w14:paraId="6FF9E8E1" w14:textId="77777777" w:rsidR="00381964" w:rsidRPr="003847E7" w:rsidRDefault="00381964" w:rsidP="00EE5134">
            <w:pPr>
              <w:rPr>
                <w:sz w:val="20"/>
                <w:szCs w:val="20"/>
              </w:rPr>
            </w:pPr>
            <w:r w:rsidRPr="003847E7">
              <w:rPr>
                <w:sz w:val="20"/>
                <w:szCs w:val="20"/>
              </w:rPr>
              <w:t>day</w:t>
            </w:r>
          </w:p>
        </w:tc>
        <w:tc>
          <w:tcPr>
            <w:tcW w:w="3690" w:type="dxa"/>
          </w:tcPr>
          <w:p w14:paraId="6167E4F7" w14:textId="77777777" w:rsidR="00381964" w:rsidRPr="003847E7" w:rsidRDefault="00381964" w:rsidP="00EE5134">
            <w:pPr>
              <w:ind w:left="79" w:hanging="79"/>
              <w:rPr>
                <w:sz w:val="20"/>
                <w:szCs w:val="20"/>
              </w:rPr>
            </w:pPr>
            <w:r w:rsidRPr="003847E7">
              <w:rPr>
                <w:sz w:val="20"/>
                <w:szCs w:val="20"/>
              </w:rPr>
              <w:t>eat, sell (meat), used to make fans for fires (feathers), adornment (make “paint” from legs)</w:t>
            </w:r>
          </w:p>
        </w:tc>
      </w:tr>
      <w:tr w:rsidR="00381964" w:rsidRPr="003847E7" w14:paraId="229B98B3" w14:textId="77777777" w:rsidTr="00EE5134">
        <w:trPr>
          <w:cantSplit/>
          <w:tblHeader/>
        </w:trPr>
        <w:tc>
          <w:tcPr>
            <w:tcW w:w="2302" w:type="dxa"/>
          </w:tcPr>
          <w:p w14:paraId="2F3E6554" w14:textId="77777777" w:rsidR="00381964" w:rsidRPr="003847E7" w:rsidRDefault="00381964" w:rsidP="00EE5134">
            <w:pPr>
              <w:rPr>
                <w:sz w:val="20"/>
                <w:szCs w:val="20"/>
              </w:rPr>
            </w:pPr>
          </w:p>
        </w:tc>
        <w:tc>
          <w:tcPr>
            <w:tcW w:w="1878" w:type="dxa"/>
          </w:tcPr>
          <w:p w14:paraId="07C22435" w14:textId="77777777" w:rsidR="00381964" w:rsidRPr="003847E7" w:rsidRDefault="00381964" w:rsidP="00EE5134">
            <w:pPr>
              <w:ind w:left="79" w:hanging="79"/>
              <w:rPr>
                <w:i/>
                <w:sz w:val="20"/>
                <w:szCs w:val="20"/>
              </w:rPr>
            </w:pPr>
          </w:p>
        </w:tc>
        <w:tc>
          <w:tcPr>
            <w:tcW w:w="1598" w:type="dxa"/>
          </w:tcPr>
          <w:p w14:paraId="3DF3ACD1" w14:textId="77777777" w:rsidR="00381964" w:rsidRPr="003847E7" w:rsidRDefault="00381964" w:rsidP="00EE5134">
            <w:pPr>
              <w:rPr>
                <w:i/>
                <w:sz w:val="20"/>
                <w:szCs w:val="20"/>
                <w:lang w:val="es-PE"/>
              </w:rPr>
            </w:pPr>
          </w:p>
        </w:tc>
        <w:tc>
          <w:tcPr>
            <w:tcW w:w="1800" w:type="dxa"/>
          </w:tcPr>
          <w:p w14:paraId="4839A42B" w14:textId="77777777" w:rsidR="00381964" w:rsidRPr="003847E7" w:rsidRDefault="00381964" w:rsidP="00EE5134">
            <w:pPr>
              <w:rPr>
                <w:sz w:val="20"/>
                <w:szCs w:val="20"/>
                <w:lang w:val="es-PE"/>
              </w:rPr>
            </w:pPr>
          </w:p>
        </w:tc>
        <w:tc>
          <w:tcPr>
            <w:tcW w:w="1800" w:type="dxa"/>
          </w:tcPr>
          <w:p w14:paraId="665BE215" w14:textId="77777777" w:rsidR="00381964" w:rsidRPr="003847E7" w:rsidRDefault="00381964" w:rsidP="00EE5134">
            <w:pPr>
              <w:rPr>
                <w:sz w:val="20"/>
                <w:szCs w:val="20"/>
              </w:rPr>
            </w:pPr>
          </w:p>
        </w:tc>
        <w:tc>
          <w:tcPr>
            <w:tcW w:w="3690" w:type="dxa"/>
          </w:tcPr>
          <w:p w14:paraId="6DFD1F03" w14:textId="77777777" w:rsidR="00381964" w:rsidRPr="003847E7" w:rsidRDefault="00381964" w:rsidP="00EE5134">
            <w:pPr>
              <w:ind w:left="79" w:hanging="79"/>
              <w:rPr>
                <w:sz w:val="20"/>
                <w:szCs w:val="20"/>
              </w:rPr>
            </w:pPr>
          </w:p>
        </w:tc>
      </w:tr>
      <w:tr w:rsidR="00381964" w:rsidRPr="003847E7" w14:paraId="15477616" w14:textId="77777777" w:rsidTr="00EE5134">
        <w:trPr>
          <w:cantSplit/>
          <w:tblHeader/>
        </w:trPr>
        <w:tc>
          <w:tcPr>
            <w:tcW w:w="2302" w:type="dxa"/>
          </w:tcPr>
          <w:p w14:paraId="463DC000" w14:textId="77777777" w:rsidR="00381964" w:rsidRPr="003847E7" w:rsidRDefault="00381964" w:rsidP="00EE5134">
            <w:pPr>
              <w:rPr>
                <w:b/>
                <w:sz w:val="20"/>
                <w:szCs w:val="20"/>
                <w:u w:val="single"/>
              </w:rPr>
            </w:pPr>
            <w:r w:rsidRPr="003847E7">
              <w:rPr>
                <w:b/>
                <w:sz w:val="20"/>
                <w:szCs w:val="20"/>
                <w:u w:val="single"/>
              </w:rPr>
              <w:t>Mammals</w:t>
            </w:r>
          </w:p>
        </w:tc>
        <w:tc>
          <w:tcPr>
            <w:tcW w:w="1878" w:type="dxa"/>
          </w:tcPr>
          <w:p w14:paraId="49FBA9F3" w14:textId="77777777" w:rsidR="00381964" w:rsidRPr="003847E7" w:rsidRDefault="00381964" w:rsidP="00EE5134">
            <w:pPr>
              <w:ind w:left="79" w:hanging="79"/>
              <w:rPr>
                <w:i/>
                <w:sz w:val="20"/>
                <w:szCs w:val="20"/>
              </w:rPr>
            </w:pPr>
          </w:p>
        </w:tc>
        <w:tc>
          <w:tcPr>
            <w:tcW w:w="1598" w:type="dxa"/>
          </w:tcPr>
          <w:p w14:paraId="56B3A2F9" w14:textId="77777777" w:rsidR="00381964" w:rsidRPr="003847E7" w:rsidRDefault="00381964" w:rsidP="00EE5134">
            <w:pPr>
              <w:rPr>
                <w:i/>
                <w:sz w:val="20"/>
                <w:szCs w:val="20"/>
                <w:lang w:val="es-PE"/>
              </w:rPr>
            </w:pPr>
          </w:p>
        </w:tc>
        <w:tc>
          <w:tcPr>
            <w:tcW w:w="1800" w:type="dxa"/>
          </w:tcPr>
          <w:p w14:paraId="4480002D" w14:textId="77777777" w:rsidR="00381964" w:rsidRPr="003847E7" w:rsidRDefault="00381964" w:rsidP="00EE5134">
            <w:pPr>
              <w:rPr>
                <w:sz w:val="20"/>
                <w:szCs w:val="20"/>
                <w:lang w:val="es-PE"/>
              </w:rPr>
            </w:pPr>
          </w:p>
        </w:tc>
        <w:tc>
          <w:tcPr>
            <w:tcW w:w="1800" w:type="dxa"/>
          </w:tcPr>
          <w:p w14:paraId="7D939064" w14:textId="77777777" w:rsidR="00381964" w:rsidRPr="003847E7" w:rsidRDefault="00381964" w:rsidP="00EE5134">
            <w:pPr>
              <w:rPr>
                <w:sz w:val="20"/>
                <w:szCs w:val="20"/>
              </w:rPr>
            </w:pPr>
          </w:p>
        </w:tc>
        <w:tc>
          <w:tcPr>
            <w:tcW w:w="3690" w:type="dxa"/>
          </w:tcPr>
          <w:p w14:paraId="21174890" w14:textId="77777777" w:rsidR="00381964" w:rsidRPr="003847E7" w:rsidRDefault="00381964" w:rsidP="00EE5134">
            <w:pPr>
              <w:ind w:left="79" w:hanging="79"/>
              <w:rPr>
                <w:sz w:val="20"/>
                <w:szCs w:val="20"/>
              </w:rPr>
            </w:pPr>
          </w:p>
        </w:tc>
      </w:tr>
      <w:tr w:rsidR="00381964" w:rsidRPr="003847E7" w14:paraId="0B11440A" w14:textId="77777777" w:rsidTr="00EE5134">
        <w:trPr>
          <w:cantSplit/>
          <w:tblHeader/>
        </w:trPr>
        <w:tc>
          <w:tcPr>
            <w:tcW w:w="2302" w:type="dxa"/>
          </w:tcPr>
          <w:p w14:paraId="7189DF30" w14:textId="77777777" w:rsidR="00381964" w:rsidRPr="003847E7" w:rsidRDefault="00381964" w:rsidP="00EE5134">
            <w:pPr>
              <w:rPr>
                <w:b/>
                <w:sz w:val="20"/>
                <w:szCs w:val="20"/>
                <w:u w:val="single"/>
              </w:rPr>
            </w:pPr>
          </w:p>
        </w:tc>
        <w:tc>
          <w:tcPr>
            <w:tcW w:w="1878" w:type="dxa"/>
          </w:tcPr>
          <w:p w14:paraId="5144334A" w14:textId="77777777" w:rsidR="00381964" w:rsidRPr="003847E7" w:rsidRDefault="00381964" w:rsidP="00EE5134">
            <w:pPr>
              <w:ind w:left="79" w:hanging="79"/>
              <w:rPr>
                <w:i/>
                <w:sz w:val="20"/>
                <w:szCs w:val="20"/>
              </w:rPr>
            </w:pPr>
          </w:p>
        </w:tc>
        <w:tc>
          <w:tcPr>
            <w:tcW w:w="1598" w:type="dxa"/>
          </w:tcPr>
          <w:p w14:paraId="40708BA7" w14:textId="77777777" w:rsidR="00381964" w:rsidRPr="003847E7" w:rsidRDefault="00381964" w:rsidP="00EE5134">
            <w:pPr>
              <w:rPr>
                <w:i/>
                <w:sz w:val="20"/>
                <w:szCs w:val="20"/>
                <w:lang w:val="es-PE"/>
              </w:rPr>
            </w:pPr>
          </w:p>
        </w:tc>
        <w:tc>
          <w:tcPr>
            <w:tcW w:w="1800" w:type="dxa"/>
          </w:tcPr>
          <w:p w14:paraId="38AA637B" w14:textId="77777777" w:rsidR="00381964" w:rsidRPr="003847E7" w:rsidRDefault="00381964" w:rsidP="00EE5134">
            <w:pPr>
              <w:rPr>
                <w:sz w:val="20"/>
                <w:szCs w:val="20"/>
                <w:lang w:val="es-PE"/>
              </w:rPr>
            </w:pPr>
          </w:p>
        </w:tc>
        <w:tc>
          <w:tcPr>
            <w:tcW w:w="1800" w:type="dxa"/>
          </w:tcPr>
          <w:p w14:paraId="7BB7290A" w14:textId="77777777" w:rsidR="00381964" w:rsidRPr="003847E7" w:rsidRDefault="00381964" w:rsidP="00EE5134">
            <w:pPr>
              <w:rPr>
                <w:sz w:val="20"/>
                <w:szCs w:val="20"/>
              </w:rPr>
            </w:pPr>
          </w:p>
        </w:tc>
        <w:tc>
          <w:tcPr>
            <w:tcW w:w="3690" w:type="dxa"/>
          </w:tcPr>
          <w:p w14:paraId="3CAE7026" w14:textId="77777777" w:rsidR="00381964" w:rsidRPr="003847E7" w:rsidRDefault="00381964" w:rsidP="00EE5134">
            <w:pPr>
              <w:ind w:left="79" w:hanging="79"/>
              <w:rPr>
                <w:sz w:val="20"/>
                <w:szCs w:val="20"/>
              </w:rPr>
            </w:pPr>
          </w:p>
        </w:tc>
      </w:tr>
      <w:tr w:rsidR="00381964" w:rsidRPr="003847E7" w14:paraId="2A1DA455" w14:textId="77777777" w:rsidTr="00EE5134">
        <w:trPr>
          <w:cantSplit/>
          <w:tblHeader/>
        </w:trPr>
        <w:tc>
          <w:tcPr>
            <w:tcW w:w="2302" w:type="dxa"/>
          </w:tcPr>
          <w:p w14:paraId="306BEC21" w14:textId="476C395C" w:rsidR="00381964" w:rsidRPr="003847E7" w:rsidRDefault="006055E9" w:rsidP="00EE5134">
            <w:pPr>
              <w:rPr>
                <w:i/>
                <w:iCs/>
                <w:sz w:val="20"/>
                <w:szCs w:val="20"/>
              </w:rPr>
            </w:pPr>
            <w:r>
              <w:rPr>
                <w:i/>
                <w:iCs/>
                <w:sz w:val="20"/>
                <w:szCs w:val="20"/>
              </w:rPr>
              <w:t>Cuniculus</w:t>
            </w:r>
            <w:r w:rsidRPr="003847E7">
              <w:rPr>
                <w:i/>
                <w:iCs/>
                <w:sz w:val="20"/>
                <w:szCs w:val="20"/>
              </w:rPr>
              <w:t xml:space="preserve"> </w:t>
            </w:r>
            <w:r w:rsidR="00381964" w:rsidRPr="003847E7">
              <w:rPr>
                <w:i/>
                <w:iCs/>
                <w:sz w:val="20"/>
                <w:szCs w:val="20"/>
              </w:rPr>
              <w:t xml:space="preserve">paca </w:t>
            </w:r>
          </w:p>
        </w:tc>
        <w:tc>
          <w:tcPr>
            <w:tcW w:w="1878" w:type="dxa"/>
          </w:tcPr>
          <w:p w14:paraId="374E862E" w14:textId="0D4B9289" w:rsidR="00381964" w:rsidRPr="003847E7" w:rsidRDefault="006B3DBF" w:rsidP="00EE5134">
            <w:pPr>
              <w:ind w:left="79" w:hanging="79"/>
              <w:rPr>
                <w:i/>
                <w:sz w:val="20"/>
                <w:szCs w:val="20"/>
              </w:rPr>
            </w:pPr>
            <w:r>
              <w:rPr>
                <w:b/>
                <w:i/>
                <w:noProof/>
                <w:sz w:val="20"/>
                <w:szCs w:val="20"/>
              </w:rPr>
              <w:t>s</w:t>
            </w:r>
            <w:r w:rsidR="00A00407">
              <w:rPr>
                <w:b/>
                <w:i/>
                <w:noProof/>
                <w:sz w:val="20"/>
                <w:szCs w:val="20"/>
              </w:rPr>
              <w:t>è</w:t>
            </w:r>
            <w:r>
              <w:rPr>
                <w:b/>
                <w:i/>
                <w:noProof/>
                <w:sz w:val="20"/>
                <w:szCs w:val="20"/>
              </w:rPr>
              <w:t>m</w:t>
            </w:r>
            <w:r w:rsidR="00A00407">
              <w:rPr>
                <w:b/>
                <w:i/>
                <w:noProof/>
                <w:sz w:val="20"/>
                <w:szCs w:val="20"/>
              </w:rPr>
              <w:t>è</w:t>
            </w:r>
            <w:r w:rsidR="00381964" w:rsidRPr="0005259E">
              <w:rPr>
                <w:bCs/>
                <w:i/>
                <w:noProof/>
                <w:sz w:val="20"/>
                <w:szCs w:val="20"/>
              </w:rPr>
              <w:t>,</w:t>
            </w:r>
            <w:r w:rsidR="00381964" w:rsidRPr="003847E7">
              <w:rPr>
                <w:b/>
                <w:i/>
                <w:noProof/>
                <w:sz w:val="20"/>
                <w:szCs w:val="20"/>
              </w:rPr>
              <w:t xml:space="preserve"> </w:t>
            </w:r>
            <w:r w:rsidR="00A00407">
              <w:rPr>
                <w:b/>
                <w:i/>
                <w:noProof/>
                <w:sz w:val="20"/>
                <w:szCs w:val="20"/>
              </w:rPr>
              <w:t>gójébèkò</w:t>
            </w:r>
          </w:p>
        </w:tc>
        <w:tc>
          <w:tcPr>
            <w:tcW w:w="1598" w:type="dxa"/>
          </w:tcPr>
          <w:p w14:paraId="5A7E6488" w14:textId="27415608" w:rsidR="00381964" w:rsidRPr="003847E7" w:rsidRDefault="006B3DBF" w:rsidP="00EE5134">
            <w:pPr>
              <w:ind w:left="79" w:hanging="79"/>
              <w:rPr>
                <w:i/>
                <w:sz w:val="20"/>
                <w:szCs w:val="20"/>
              </w:rPr>
            </w:pPr>
            <w:r w:rsidRPr="003847E7">
              <w:rPr>
                <w:i/>
                <w:sz w:val="20"/>
                <w:szCs w:val="20"/>
                <w:lang w:val="es-PE"/>
              </w:rPr>
              <w:t>maj</w:t>
            </w:r>
            <w:r>
              <w:rPr>
                <w:i/>
                <w:sz w:val="20"/>
                <w:szCs w:val="20"/>
                <w:lang w:val="es-PE"/>
              </w:rPr>
              <w:t>ás</w:t>
            </w:r>
          </w:p>
        </w:tc>
        <w:tc>
          <w:tcPr>
            <w:tcW w:w="1800" w:type="dxa"/>
          </w:tcPr>
          <w:p w14:paraId="3DE39CBC" w14:textId="77777777" w:rsidR="00381964" w:rsidRPr="003847E7" w:rsidRDefault="00381964" w:rsidP="00EE5134">
            <w:pPr>
              <w:ind w:left="79" w:hanging="79"/>
              <w:rPr>
                <w:b/>
                <w:noProof/>
                <w:sz w:val="20"/>
                <w:szCs w:val="20"/>
              </w:rPr>
            </w:pPr>
            <w:r w:rsidRPr="003847E7">
              <w:rPr>
                <w:sz w:val="20"/>
                <w:szCs w:val="20"/>
              </w:rPr>
              <w:t>paca</w:t>
            </w:r>
          </w:p>
        </w:tc>
        <w:tc>
          <w:tcPr>
            <w:tcW w:w="1800" w:type="dxa"/>
          </w:tcPr>
          <w:p w14:paraId="60009E47" w14:textId="77777777" w:rsidR="00381964" w:rsidRPr="003847E7" w:rsidRDefault="00381964" w:rsidP="00EE5134">
            <w:pPr>
              <w:rPr>
                <w:sz w:val="20"/>
                <w:szCs w:val="20"/>
              </w:rPr>
            </w:pPr>
            <w:r w:rsidRPr="003847E7">
              <w:rPr>
                <w:sz w:val="20"/>
                <w:szCs w:val="20"/>
              </w:rPr>
              <w:t>night</w:t>
            </w:r>
          </w:p>
        </w:tc>
        <w:tc>
          <w:tcPr>
            <w:tcW w:w="3690" w:type="dxa"/>
          </w:tcPr>
          <w:p w14:paraId="12C4FCA9" w14:textId="77777777" w:rsidR="00381964" w:rsidRPr="003847E7" w:rsidRDefault="00381964" w:rsidP="00EE5134">
            <w:pPr>
              <w:ind w:left="79" w:hanging="79"/>
              <w:rPr>
                <w:sz w:val="20"/>
                <w:szCs w:val="20"/>
              </w:rPr>
            </w:pPr>
            <w:r w:rsidRPr="003847E7">
              <w:rPr>
                <w:sz w:val="20"/>
                <w:szCs w:val="20"/>
              </w:rPr>
              <w:t>eat, sell (meat), tourist crafts (teeth)</w:t>
            </w:r>
          </w:p>
        </w:tc>
      </w:tr>
      <w:tr w:rsidR="00381964" w:rsidRPr="003847E7" w14:paraId="66746DC8" w14:textId="77777777" w:rsidTr="00EE5134">
        <w:trPr>
          <w:cantSplit/>
          <w:tblHeader/>
        </w:trPr>
        <w:tc>
          <w:tcPr>
            <w:tcW w:w="2302" w:type="dxa"/>
          </w:tcPr>
          <w:p w14:paraId="4E36088D" w14:textId="77777777" w:rsidR="00381964" w:rsidRPr="003847E7" w:rsidRDefault="00381964" w:rsidP="00EE5134">
            <w:pPr>
              <w:rPr>
                <w:sz w:val="20"/>
                <w:szCs w:val="20"/>
              </w:rPr>
            </w:pPr>
          </w:p>
        </w:tc>
        <w:tc>
          <w:tcPr>
            <w:tcW w:w="1878" w:type="dxa"/>
          </w:tcPr>
          <w:p w14:paraId="09F2E17E" w14:textId="77777777" w:rsidR="00381964" w:rsidRPr="003847E7" w:rsidRDefault="00381964" w:rsidP="00EE5134">
            <w:pPr>
              <w:ind w:left="79" w:hanging="79"/>
              <w:rPr>
                <w:i/>
                <w:sz w:val="20"/>
                <w:szCs w:val="20"/>
              </w:rPr>
            </w:pPr>
          </w:p>
        </w:tc>
        <w:tc>
          <w:tcPr>
            <w:tcW w:w="1598" w:type="dxa"/>
          </w:tcPr>
          <w:p w14:paraId="45C15133" w14:textId="77777777" w:rsidR="00381964" w:rsidRPr="003847E7" w:rsidRDefault="00381964" w:rsidP="00EE5134">
            <w:pPr>
              <w:rPr>
                <w:i/>
                <w:sz w:val="20"/>
                <w:szCs w:val="20"/>
                <w:lang w:val="es-PE"/>
              </w:rPr>
            </w:pPr>
          </w:p>
        </w:tc>
        <w:tc>
          <w:tcPr>
            <w:tcW w:w="1800" w:type="dxa"/>
          </w:tcPr>
          <w:p w14:paraId="2454F4BC" w14:textId="77777777" w:rsidR="00381964" w:rsidRPr="003847E7" w:rsidRDefault="00381964" w:rsidP="00EE5134">
            <w:pPr>
              <w:rPr>
                <w:sz w:val="20"/>
                <w:szCs w:val="20"/>
                <w:lang w:val="es-PE"/>
              </w:rPr>
            </w:pPr>
          </w:p>
        </w:tc>
        <w:tc>
          <w:tcPr>
            <w:tcW w:w="1800" w:type="dxa"/>
          </w:tcPr>
          <w:p w14:paraId="6A3D96A7" w14:textId="77777777" w:rsidR="00381964" w:rsidRPr="003847E7" w:rsidRDefault="00381964" w:rsidP="00EE5134">
            <w:pPr>
              <w:rPr>
                <w:sz w:val="20"/>
                <w:szCs w:val="20"/>
              </w:rPr>
            </w:pPr>
          </w:p>
        </w:tc>
        <w:tc>
          <w:tcPr>
            <w:tcW w:w="3690" w:type="dxa"/>
          </w:tcPr>
          <w:p w14:paraId="57C97403" w14:textId="77777777" w:rsidR="00381964" w:rsidRPr="003847E7" w:rsidRDefault="00381964" w:rsidP="00EE5134">
            <w:pPr>
              <w:ind w:left="79" w:hanging="79"/>
              <w:rPr>
                <w:sz w:val="20"/>
                <w:szCs w:val="20"/>
              </w:rPr>
            </w:pPr>
          </w:p>
        </w:tc>
      </w:tr>
      <w:tr w:rsidR="00381964" w:rsidRPr="003847E7" w14:paraId="76EC6B53" w14:textId="77777777" w:rsidTr="00EE5134">
        <w:trPr>
          <w:cantSplit/>
          <w:tblHeader/>
        </w:trPr>
        <w:tc>
          <w:tcPr>
            <w:tcW w:w="2302" w:type="dxa"/>
          </w:tcPr>
          <w:p w14:paraId="1BA47191" w14:textId="77777777" w:rsidR="00381964" w:rsidRPr="003847E7" w:rsidRDefault="00381964" w:rsidP="00EE5134">
            <w:pPr>
              <w:rPr>
                <w:i/>
                <w:iCs/>
                <w:sz w:val="20"/>
                <w:szCs w:val="20"/>
              </w:rPr>
            </w:pPr>
            <w:r w:rsidRPr="003847E7">
              <w:rPr>
                <w:i/>
                <w:iCs/>
                <w:sz w:val="20"/>
                <w:szCs w:val="20"/>
              </w:rPr>
              <w:t xml:space="preserve">Alouatta </w:t>
            </w:r>
            <w:proofErr w:type="spellStart"/>
            <w:r w:rsidRPr="003847E7">
              <w:rPr>
                <w:i/>
                <w:iCs/>
                <w:sz w:val="20"/>
                <w:szCs w:val="20"/>
              </w:rPr>
              <w:t>seniculus</w:t>
            </w:r>
            <w:proofErr w:type="spellEnd"/>
            <w:r w:rsidRPr="003847E7">
              <w:rPr>
                <w:i/>
                <w:iCs/>
                <w:sz w:val="20"/>
                <w:szCs w:val="20"/>
              </w:rPr>
              <w:t xml:space="preserve"> </w:t>
            </w:r>
          </w:p>
        </w:tc>
        <w:tc>
          <w:tcPr>
            <w:tcW w:w="1878" w:type="dxa"/>
          </w:tcPr>
          <w:p w14:paraId="0EA58E56" w14:textId="3AD115D9" w:rsidR="00381964" w:rsidRPr="003847E7" w:rsidRDefault="00AA13F4" w:rsidP="00EE5134">
            <w:pPr>
              <w:ind w:left="79" w:hanging="79"/>
              <w:rPr>
                <w:i/>
                <w:sz w:val="20"/>
                <w:szCs w:val="20"/>
              </w:rPr>
            </w:pPr>
            <w:r>
              <w:rPr>
                <w:b/>
                <w:i/>
                <w:noProof/>
                <w:sz w:val="20"/>
                <w:szCs w:val="20"/>
              </w:rPr>
              <w:t>jáík</w:t>
            </w:r>
            <w:r w:rsidRPr="0005259E">
              <w:rPr>
                <w:b/>
                <w:i/>
                <w:strike/>
                <w:noProof/>
                <w:sz w:val="20"/>
                <w:szCs w:val="20"/>
              </w:rPr>
              <w:t>ì</w:t>
            </w:r>
          </w:p>
        </w:tc>
        <w:tc>
          <w:tcPr>
            <w:tcW w:w="1598" w:type="dxa"/>
          </w:tcPr>
          <w:p w14:paraId="005237BD" w14:textId="77777777" w:rsidR="00381964" w:rsidRPr="003847E7" w:rsidRDefault="00381964" w:rsidP="00EE5134">
            <w:pPr>
              <w:rPr>
                <w:i/>
                <w:sz w:val="20"/>
                <w:szCs w:val="20"/>
                <w:lang w:val="es-PE"/>
              </w:rPr>
            </w:pPr>
            <w:r w:rsidRPr="003847E7">
              <w:rPr>
                <w:i/>
                <w:sz w:val="20"/>
                <w:szCs w:val="20"/>
                <w:lang w:val="es-PE"/>
              </w:rPr>
              <w:t xml:space="preserve">coto mono </w:t>
            </w:r>
          </w:p>
        </w:tc>
        <w:tc>
          <w:tcPr>
            <w:tcW w:w="1800" w:type="dxa"/>
          </w:tcPr>
          <w:p w14:paraId="6D30ED81" w14:textId="77777777" w:rsidR="00381964" w:rsidRPr="003847E7" w:rsidRDefault="00381964" w:rsidP="00EE5134">
            <w:pPr>
              <w:ind w:left="79" w:hanging="79"/>
              <w:rPr>
                <w:b/>
                <w:noProof/>
                <w:sz w:val="20"/>
                <w:szCs w:val="20"/>
              </w:rPr>
            </w:pPr>
            <w:r w:rsidRPr="003847E7">
              <w:rPr>
                <w:sz w:val="20"/>
                <w:szCs w:val="20"/>
              </w:rPr>
              <w:t>red howler monkey</w:t>
            </w:r>
          </w:p>
        </w:tc>
        <w:tc>
          <w:tcPr>
            <w:tcW w:w="1800" w:type="dxa"/>
          </w:tcPr>
          <w:p w14:paraId="09144F46" w14:textId="77777777" w:rsidR="00381964" w:rsidRPr="003847E7" w:rsidRDefault="00381964" w:rsidP="00EE5134">
            <w:pPr>
              <w:rPr>
                <w:sz w:val="20"/>
                <w:szCs w:val="20"/>
              </w:rPr>
            </w:pPr>
            <w:r w:rsidRPr="003847E7">
              <w:rPr>
                <w:sz w:val="20"/>
                <w:szCs w:val="20"/>
              </w:rPr>
              <w:t>day</w:t>
            </w:r>
          </w:p>
        </w:tc>
        <w:tc>
          <w:tcPr>
            <w:tcW w:w="3690" w:type="dxa"/>
          </w:tcPr>
          <w:p w14:paraId="6B31F762" w14:textId="77777777" w:rsidR="00381964" w:rsidRPr="003847E7" w:rsidRDefault="00381964" w:rsidP="00EE5134">
            <w:pPr>
              <w:ind w:left="79" w:hanging="79"/>
              <w:rPr>
                <w:sz w:val="20"/>
                <w:szCs w:val="20"/>
              </w:rPr>
            </w:pPr>
            <w:r w:rsidRPr="003847E7">
              <w:rPr>
                <w:sz w:val="20"/>
                <w:szCs w:val="20"/>
              </w:rPr>
              <w:t>eat, sell (meat), tourist crafts (bony pouch or hyoid bone from throat)</w:t>
            </w:r>
          </w:p>
        </w:tc>
      </w:tr>
      <w:tr w:rsidR="00381964" w:rsidRPr="003847E7" w14:paraId="36270A47" w14:textId="77777777" w:rsidTr="00EE5134">
        <w:trPr>
          <w:cantSplit/>
          <w:tblHeader/>
        </w:trPr>
        <w:tc>
          <w:tcPr>
            <w:tcW w:w="2302" w:type="dxa"/>
          </w:tcPr>
          <w:p w14:paraId="66DE51C0" w14:textId="77777777" w:rsidR="00381964" w:rsidRPr="003847E7" w:rsidRDefault="00381964" w:rsidP="00EE5134">
            <w:pPr>
              <w:rPr>
                <w:i/>
                <w:iCs/>
                <w:sz w:val="20"/>
                <w:szCs w:val="20"/>
              </w:rPr>
            </w:pPr>
          </w:p>
        </w:tc>
        <w:tc>
          <w:tcPr>
            <w:tcW w:w="1878" w:type="dxa"/>
          </w:tcPr>
          <w:p w14:paraId="79F323AA" w14:textId="77777777" w:rsidR="00381964" w:rsidRPr="003847E7" w:rsidRDefault="00381964" w:rsidP="00EE5134">
            <w:pPr>
              <w:ind w:left="79" w:hanging="79"/>
              <w:rPr>
                <w:b/>
                <w:i/>
                <w:noProof/>
                <w:sz w:val="20"/>
                <w:szCs w:val="20"/>
              </w:rPr>
            </w:pPr>
          </w:p>
        </w:tc>
        <w:tc>
          <w:tcPr>
            <w:tcW w:w="1598" w:type="dxa"/>
          </w:tcPr>
          <w:p w14:paraId="7FAC26B1" w14:textId="77777777" w:rsidR="00381964" w:rsidRPr="003847E7" w:rsidRDefault="00381964" w:rsidP="00EE5134">
            <w:pPr>
              <w:rPr>
                <w:i/>
                <w:sz w:val="20"/>
                <w:szCs w:val="20"/>
                <w:lang w:val="es-PE"/>
              </w:rPr>
            </w:pPr>
          </w:p>
        </w:tc>
        <w:tc>
          <w:tcPr>
            <w:tcW w:w="1800" w:type="dxa"/>
          </w:tcPr>
          <w:p w14:paraId="0A5550E9" w14:textId="77777777" w:rsidR="00381964" w:rsidRPr="003847E7" w:rsidRDefault="00381964" w:rsidP="00EE5134">
            <w:pPr>
              <w:ind w:left="79" w:hanging="79"/>
              <w:rPr>
                <w:sz w:val="20"/>
                <w:szCs w:val="20"/>
              </w:rPr>
            </w:pPr>
          </w:p>
        </w:tc>
        <w:tc>
          <w:tcPr>
            <w:tcW w:w="1800" w:type="dxa"/>
          </w:tcPr>
          <w:p w14:paraId="060DB0D2" w14:textId="77777777" w:rsidR="00381964" w:rsidRPr="003847E7" w:rsidRDefault="00381964" w:rsidP="00EE5134">
            <w:pPr>
              <w:rPr>
                <w:sz w:val="20"/>
                <w:szCs w:val="20"/>
              </w:rPr>
            </w:pPr>
          </w:p>
        </w:tc>
        <w:tc>
          <w:tcPr>
            <w:tcW w:w="3690" w:type="dxa"/>
          </w:tcPr>
          <w:p w14:paraId="56452847" w14:textId="77777777" w:rsidR="00381964" w:rsidRPr="003847E7" w:rsidRDefault="00381964" w:rsidP="00EE5134">
            <w:pPr>
              <w:ind w:left="79" w:hanging="79"/>
              <w:rPr>
                <w:sz w:val="20"/>
                <w:szCs w:val="20"/>
              </w:rPr>
            </w:pPr>
          </w:p>
        </w:tc>
      </w:tr>
      <w:tr w:rsidR="00381964" w:rsidRPr="003847E7" w14:paraId="46AC82ED" w14:textId="77777777" w:rsidTr="00EE5134">
        <w:trPr>
          <w:cantSplit/>
          <w:tblHeader/>
        </w:trPr>
        <w:tc>
          <w:tcPr>
            <w:tcW w:w="2302" w:type="dxa"/>
          </w:tcPr>
          <w:p w14:paraId="12C22182" w14:textId="77777777" w:rsidR="00381964" w:rsidRPr="003847E7" w:rsidRDefault="00381964" w:rsidP="00EE5134">
            <w:pPr>
              <w:rPr>
                <w:i/>
                <w:iCs/>
                <w:sz w:val="20"/>
                <w:szCs w:val="20"/>
              </w:rPr>
            </w:pPr>
            <w:r w:rsidRPr="003847E7">
              <w:rPr>
                <w:i/>
                <w:iCs/>
                <w:sz w:val="20"/>
                <w:szCs w:val="20"/>
              </w:rPr>
              <w:t xml:space="preserve">Coendou </w:t>
            </w:r>
            <w:proofErr w:type="spellStart"/>
            <w:r w:rsidRPr="003847E7">
              <w:rPr>
                <w:i/>
                <w:iCs/>
                <w:sz w:val="20"/>
                <w:szCs w:val="20"/>
              </w:rPr>
              <w:t>prehensilis</w:t>
            </w:r>
            <w:proofErr w:type="spellEnd"/>
            <w:r w:rsidRPr="003847E7">
              <w:rPr>
                <w:i/>
                <w:iCs/>
                <w:sz w:val="20"/>
                <w:szCs w:val="20"/>
              </w:rPr>
              <w:t xml:space="preserve"> </w:t>
            </w:r>
          </w:p>
        </w:tc>
        <w:tc>
          <w:tcPr>
            <w:tcW w:w="1878" w:type="dxa"/>
          </w:tcPr>
          <w:p w14:paraId="3C8C384A" w14:textId="023FFB41" w:rsidR="00381964" w:rsidRPr="003847E7" w:rsidRDefault="00DC39C2" w:rsidP="00EE5134">
            <w:pPr>
              <w:ind w:left="79" w:hanging="79"/>
              <w:rPr>
                <w:i/>
                <w:sz w:val="20"/>
                <w:szCs w:val="20"/>
              </w:rPr>
            </w:pPr>
            <w:r>
              <w:rPr>
                <w:b/>
                <w:i/>
                <w:noProof/>
                <w:sz w:val="20"/>
                <w:szCs w:val="20"/>
              </w:rPr>
              <w:t>tòtò</w:t>
            </w:r>
          </w:p>
        </w:tc>
        <w:tc>
          <w:tcPr>
            <w:tcW w:w="1598" w:type="dxa"/>
          </w:tcPr>
          <w:p w14:paraId="6A585455" w14:textId="6B96A2C9" w:rsidR="00381964" w:rsidRPr="003847E7" w:rsidRDefault="00CF6B53" w:rsidP="00EE5134">
            <w:pPr>
              <w:rPr>
                <w:i/>
                <w:sz w:val="20"/>
                <w:szCs w:val="20"/>
                <w:lang w:val="es-PE"/>
              </w:rPr>
            </w:pPr>
            <w:proofErr w:type="spellStart"/>
            <w:r w:rsidRPr="003847E7">
              <w:rPr>
                <w:i/>
                <w:sz w:val="20"/>
                <w:szCs w:val="20"/>
                <w:lang w:val="es-PE"/>
              </w:rPr>
              <w:t>cashacu</w:t>
            </w:r>
            <w:r>
              <w:rPr>
                <w:i/>
                <w:sz w:val="20"/>
                <w:szCs w:val="20"/>
                <w:lang w:val="es-PE"/>
              </w:rPr>
              <w:t>s</w:t>
            </w:r>
            <w:r w:rsidRPr="003847E7">
              <w:rPr>
                <w:i/>
                <w:sz w:val="20"/>
                <w:szCs w:val="20"/>
                <w:lang w:val="es-PE"/>
              </w:rPr>
              <w:t>hillo</w:t>
            </w:r>
            <w:proofErr w:type="spellEnd"/>
            <w:r w:rsidRPr="003847E7">
              <w:rPr>
                <w:i/>
                <w:sz w:val="20"/>
                <w:szCs w:val="20"/>
                <w:lang w:val="es-PE"/>
              </w:rPr>
              <w:t xml:space="preserve"> </w:t>
            </w:r>
          </w:p>
        </w:tc>
        <w:tc>
          <w:tcPr>
            <w:tcW w:w="1800" w:type="dxa"/>
          </w:tcPr>
          <w:p w14:paraId="59A83ED5" w14:textId="77777777" w:rsidR="00381964" w:rsidRPr="003847E7" w:rsidRDefault="00381964" w:rsidP="00EE5134">
            <w:pPr>
              <w:ind w:left="79" w:hanging="79"/>
              <w:rPr>
                <w:b/>
                <w:noProof/>
                <w:sz w:val="20"/>
                <w:szCs w:val="20"/>
              </w:rPr>
            </w:pPr>
            <w:r w:rsidRPr="003847E7">
              <w:rPr>
                <w:sz w:val="20"/>
                <w:szCs w:val="20"/>
              </w:rPr>
              <w:t>Brazilian porcupine</w:t>
            </w:r>
          </w:p>
        </w:tc>
        <w:tc>
          <w:tcPr>
            <w:tcW w:w="1800" w:type="dxa"/>
          </w:tcPr>
          <w:p w14:paraId="267F582F" w14:textId="77777777" w:rsidR="00381964" w:rsidRPr="003847E7" w:rsidRDefault="00381964" w:rsidP="00EE5134">
            <w:pPr>
              <w:rPr>
                <w:sz w:val="20"/>
                <w:szCs w:val="20"/>
              </w:rPr>
            </w:pPr>
            <w:r w:rsidRPr="003847E7">
              <w:rPr>
                <w:sz w:val="20"/>
                <w:szCs w:val="20"/>
              </w:rPr>
              <w:t>night</w:t>
            </w:r>
          </w:p>
        </w:tc>
        <w:tc>
          <w:tcPr>
            <w:tcW w:w="3690" w:type="dxa"/>
          </w:tcPr>
          <w:p w14:paraId="7E66BEA4" w14:textId="77777777" w:rsidR="00381964" w:rsidRPr="003847E7" w:rsidRDefault="00381964" w:rsidP="00EE5134">
            <w:pPr>
              <w:ind w:left="79" w:hanging="79"/>
              <w:rPr>
                <w:sz w:val="20"/>
                <w:szCs w:val="20"/>
              </w:rPr>
            </w:pPr>
            <w:r w:rsidRPr="003847E7">
              <w:rPr>
                <w:sz w:val="20"/>
                <w:szCs w:val="20"/>
              </w:rPr>
              <w:t>eat, tourist crafts (spines)</w:t>
            </w:r>
          </w:p>
        </w:tc>
      </w:tr>
      <w:tr w:rsidR="00381964" w:rsidRPr="003847E7" w14:paraId="1C7AFA03" w14:textId="77777777" w:rsidTr="00EE5134">
        <w:trPr>
          <w:cantSplit/>
          <w:tblHeader/>
        </w:trPr>
        <w:tc>
          <w:tcPr>
            <w:tcW w:w="2302" w:type="dxa"/>
          </w:tcPr>
          <w:p w14:paraId="6327A6EC" w14:textId="77777777" w:rsidR="00381964" w:rsidRPr="003847E7" w:rsidRDefault="00381964" w:rsidP="00EE5134">
            <w:pPr>
              <w:rPr>
                <w:i/>
                <w:iCs/>
                <w:sz w:val="20"/>
                <w:szCs w:val="20"/>
              </w:rPr>
            </w:pPr>
          </w:p>
        </w:tc>
        <w:tc>
          <w:tcPr>
            <w:tcW w:w="1878" w:type="dxa"/>
          </w:tcPr>
          <w:p w14:paraId="033B8A00" w14:textId="77777777" w:rsidR="00381964" w:rsidRPr="003847E7" w:rsidRDefault="00381964" w:rsidP="00EE5134">
            <w:pPr>
              <w:ind w:left="79" w:hanging="79"/>
              <w:rPr>
                <w:b/>
                <w:i/>
                <w:noProof/>
                <w:sz w:val="20"/>
                <w:szCs w:val="20"/>
              </w:rPr>
            </w:pPr>
          </w:p>
        </w:tc>
        <w:tc>
          <w:tcPr>
            <w:tcW w:w="1598" w:type="dxa"/>
          </w:tcPr>
          <w:p w14:paraId="1E29C272" w14:textId="77777777" w:rsidR="00381964" w:rsidRPr="003847E7" w:rsidRDefault="00381964" w:rsidP="00EE5134">
            <w:pPr>
              <w:rPr>
                <w:i/>
                <w:sz w:val="20"/>
                <w:szCs w:val="20"/>
                <w:lang w:val="es-PE"/>
              </w:rPr>
            </w:pPr>
          </w:p>
        </w:tc>
        <w:tc>
          <w:tcPr>
            <w:tcW w:w="1800" w:type="dxa"/>
          </w:tcPr>
          <w:p w14:paraId="43155BD8" w14:textId="77777777" w:rsidR="00381964" w:rsidRPr="003847E7" w:rsidRDefault="00381964" w:rsidP="00EE5134">
            <w:pPr>
              <w:ind w:left="79" w:hanging="79"/>
              <w:rPr>
                <w:sz w:val="20"/>
                <w:szCs w:val="20"/>
              </w:rPr>
            </w:pPr>
          </w:p>
        </w:tc>
        <w:tc>
          <w:tcPr>
            <w:tcW w:w="1800" w:type="dxa"/>
          </w:tcPr>
          <w:p w14:paraId="25714270" w14:textId="77777777" w:rsidR="00381964" w:rsidRPr="003847E7" w:rsidRDefault="00381964" w:rsidP="00EE5134">
            <w:pPr>
              <w:rPr>
                <w:sz w:val="20"/>
                <w:szCs w:val="20"/>
              </w:rPr>
            </w:pPr>
          </w:p>
        </w:tc>
        <w:tc>
          <w:tcPr>
            <w:tcW w:w="3690" w:type="dxa"/>
          </w:tcPr>
          <w:p w14:paraId="050E9BC8" w14:textId="77777777" w:rsidR="00381964" w:rsidRPr="003847E7" w:rsidRDefault="00381964" w:rsidP="00EE5134">
            <w:pPr>
              <w:ind w:left="79" w:hanging="79"/>
              <w:rPr>
                <w:sz w:val="20"/>
                <w:szCs w:val="20"/>
              </w:rPr>
            </w:pPr>
          </w:p>
        </w:tc>
      </w:tr>
      <w:tr w:rsidR="00381964" w:rsidRPr="003847E7" w14:paraId="409B2359" w14:textId="77777777" w:rsidTr="00EE5134">
        <w:trPr>
          <w:cantSplit/>
          <w:tblHeader/>
        </w:trPr>
        <w:tc>
          <w:tcPr>
            <w:tcW w:w="2302" w:type="dxa"/>
          </w:tcPr>
          <w:p w14:paraId="34D5FAF7" w14:textId="77777777" w:rsidR="00381964" w:rsidRPr="003847E7" w:rsidRDefault="00381964" w:rsidP="00EE5134">
            <w:pPr>
              <w:rPr>
                <w:i/>
                <w:iCs/>
                <w:sz w:val="20"/>
                <w:szCs w:val="20"/>
              </w:rPr>
            </w:pPr>
            <w:proofErr w:type="spellStart"/>
            <w:r w:rsidRPr="003847E7">
              <w:rPr>
                <w:i/>
                <w:iCs/>
                <w:sz w:val="20"/>
                <w:szCs w:val="20"/>
              </w:rPr>
              <w:t>Dasyprocta</w:t>
            </w:r>
            <w:proofErr w:type="spellEnd"/>
            <w:r w:rsidRPr="003847E7">
              <w:rPr>
                <w:i/>
                <w:iCs/>
                <w:sz w:val="20"/>
                <w:szCs w:val="20"/>
              </w:rPr>
              <w:t xml:space="preserve"> </w:t>
            </w:r>
            <w:proofErr w:type="spellStart"/>
            <w:r w:rsidRPr="003847E7">
              <w:rPr>
                <w:i/>
                <w:iCs/>
                <w:sz w:val="20"/>
                <w:szCs w:val="20"/>
              </w:rPr>
              <w:t>fuliginosa</w:t>
            </w:r>
            <w:proofErr w:type="spellEnd"/>
          </w:p>
        </w:tc>
        <w:tc>
          <w:tcPr>
            <w:tcW w:w="1878" w:type="dxa"/>
          </w:tcPr>
          <w:p w14:paraId="1009A036" w14:textId="626BF215" w:rsidR="00381964" w:rsidRPr="003847E7" w:rsidRDefault="0035673A" w:rsidP="00EE5134">
            <w:pPr>
              <w:ind w:left="79" w:hanging="79"/>
              <w:rPr>
                <w:i/>
                <w:sz w:val="20"/>
                <w:szCs w:val="20"/>
              </w:rPr>
            </w:pPr>
            <w:r>
              <w:rPr>
                <w:b/>
                <w:i/>
                <w:noProof/>
                <w:sz w:val="20"/>
                <w:szCs w:val="20"/>
              </w:rPr>
              <w:t>máítàkò</w:t>
            </w:r>
            <w:r w:rsidR="00381964" w:rsidRPr="0005259E">
              <w:rPr>
                <w:bCs/>
                <w:i/>
                <w:noProof/>
                <w:sz w:val="20"/>
                <w:szCs w:val="20"/>
              </w:rPr>
              <w:t>,</w:t>
            </w:r>
            <w:r w:rsidR="00381964" w:rsidRPr="003847E7">
              <w:rPr>
                <w:b/>
                <w:i/>
                <w:noProof/>
                <w:sz w:val="20"/>
                <w:szCs w:val="20"/>
              </w:rPr>
              <w:t xml:space="preserve"> </w:t>
            </w:r>
            <w:r w:rsidR="007E243D">
              <w:rPr>
                <w:b/>
                <w:i/>
                <w:noProof/>
                <w:sz w:val="20"/>
                <w:szCs w:val="20"/>
              </w:rPr>
              <w:t>kòròmé</w:t>
            </w:r>
          </w:p>
        </w:tc>
        <w:tc>
          <w:tcPr>
            <w:tcW w:w="1598" w:type="dxa"/>
          </w:tcPr>
          <w:p w14:paraId="5C540039" w14:textId="77777777" w:rsidR="00381964" w:rsidRPr="003847E7" w:rsidRDefault="00381964" w:rsidP="00EE5134">
            <w:pPr>
              <w:ind w:left="79" w:hanging="79"/>
              <w:rPr>
                <w:i/>
                <w:sz w:val="20"/>
                <w:szCs w:val="20"/>
              </w:rPr>
            </w:pPr>
            <w:r w:rsidRPr="003847E7">
              <w:rPr>
                <w:i/>
                <w:sz w:val="20"/>
                <w:szCs w:val="20"/>
                <w:lang w:val="es-PE"/>
              </w:rPr>
              <w:t>añuje</w:t>
            </w:r>
          </w:p>
        </w:tc>
        <w:tc>
          <w:tcPr>
            <w:tcW w:w="1800" w:type="dxa"/>
          </w:tcPr>
          <w:p w14:paraId="1D9964EC" w14:textId="77777777" w:rsidR="00381964" w:rsidRPr="003847E7" w:rsidRDefault="00381964" w:rsidP="00EE5134">
            <w:pPr>
              <w:ind w:left="79" w:hanging="79"/>
              <w:rPr>
                <w:b/>
                <w:noProof/>
                <w:sz w:val="20"/>
                <w:szCs w:val="20"/>
              </w:rPr>
            </w:pPr>
            <w:r w:rsidRPr="003847E7">
              <w:rPr>
                <w:sz w:val="20"/>
                <w:szCs w:val="20"/>
              </w:rPr>
              <w:t>black agouti</w:t>
            </w:r>
          </w:p>
        </w:tc>
        <w:tc>
          <w:tcPr>
            <w:tcW w:w="1800" w:type="dxa"/>
          </w:tcPr>
          <w:p w14:paraId="20C17FE3" w14:textId="77777777" w:rsidR="00381964" w:rsidRPr="003847E7" w:rsidRDefault="00381964" w:rsidP="00EE5134">
            <w:pPr>
              <w:rPr>
                <w:sz w:val="20"/>
                <w:szCs w:val="20"/>
              </w:rPr>
            </w:pPr>
            <w:r w:rsidRPr="003847E7">
              <w:rPr>
                <w:sz w:val="20"/>
                <w:szCs w:val="20"/>
              </w:rPr>
              <w:t>day</w:t>
            </w:r>
          </w:p>
        </w:tc>
        <w:tc>
          <w:tcPr>
            <w:tcW w:w="3690" w:type="dxa"/>
          </w:tcPr>
          <w:p w14:paraId="3A53EC40" w14:textId="77777777" w:rsidR="00381964" w:rsidRPr="003847E7" w:rsidRDefault="00381964" w:rsidP="00EE5134">
            <w:pPr>
              <w:ind w:left="79" w:hanging="79"/>
              <w:rPr>
                <w:sz w:val="20"/>
                <w:szCs w:val="20"/>
              </w:rPr>
            </w:pPr>
            <w:r w:rsidRPr="003847E7">
              <w:rPr>
                <w:sz w:val="20"/>
                <w:szCs w:val="20"/>
              </w:rPr>
              <w:t>eat, sell (meat), tourist crafts (teeth)</w:t>
            </w:r>
          </w:p>
        </w:tc>
      </w:tr>
      <w:tr w:rsidR="00381964" w:rsidRPr="003847E7" w14:paraId="261F294B" w14:textId="77777777" w:rsidTr="00EE5134">
        <w:trPr>
          <w:cantSplit/>
          <w:tblHeader/>
        </w:trPr>
        <w:tc>
          <w:tcPr>
            <w:tcW w:w="2302" w:type="dxa"/>
          </w:tcPr>
          <w:p w14:paraId="1AA7EDD8" w14:textId="77777777" w:rsidR="00381964" w:rsidRPr="003847E7" w:rsidRDefault="00381964" w:rsidP="00EE5134">
            <w:pPr>
              <w:rPr>
                <w:i/>
                <w:iCs/>
                <w:sz w:val="20"/>
                <w:szCs w:val="20"/>
              </w:rPr>
            </w:pPr>
          </w:p>
        </w:tc>
        <w:tc>
          <w:tcPr>
            <w:tcW w:w="1878" w:type="dxa"/>
          </w:tcPr>
          <w:p w14:paraId="375C2926" w14:textId="77777777" w:rsidR="00381964" w:rsidRPr="003847E7" w:rsidRDefault="00381964" w:rsidP="00EE5134">
            <w:pPr>
              <w:ind w:left="79" w:hanging="79"/>
              <w:rPr>
                <w:b/>
                <w:i/>
                <w:noProof/>
                <w:sz w:val="20"/>
                <w:szCs w:val="20"/>
              </w:rPr>
            </w:pPr>
          </w:p>
        </w:tc>
        <w:tc>
          <w:tcPr>
            <w:tcW w:w="1598" w:type="dxa"/>
          </w:tcPr>
          <w:p w14:paraId="65A35AB0" w14:textId="77777777" w:rsidR="00381964" w:rsidRPr="003847E7" w:rsidRDefault="00381964" w:rsidP="00EE5134">
            <w:pPr>
              <w:ind w:left="79" w:hanging="79"/>
              <w:rPr>
                <w:i/>
                <w:sz w:val="20"/>
                <w:szCs w:val="20"/>
                <w:lang w:val="es-PE"/>
              </w:rPr>
            </w:pPr>
          </w:p>
        </w:tc>
        <w:tc>
          <w:tcPr>
            <w:tcW w:w="1800" w:type="dxa"/>
          </w:tcPr>
          <w:p w14:paraId="46DB0181" w14:textId="77777777" w:rsidR="00381964" w:rsidRPr="003847E7" w:rsidRDefault="00381964" w:rsidP="00EE5134">
            <w:pPr>
              <w:ind w:left="79" w:hanging="79"/>
              <w:rPr>
                <w:sz w:val="20"/>
                <w:szCs w:val="20"/>
              </w:rPr>
            </w:pPr>
          </w:p>
        </w:tc>
        <w:tc>
          <w:tcPr>
            <w:tcW w:w="1800" w:type="dxa"/>
          </w:tcPr>
          <w:p w14:paraId="5AD59D76" w14:textId="77777777" w:rsidR="00381964" w:rsidRPr="003847E7" w:rsidRDefault="00381964" w:rsidP="00EE5134">
            <w:pPr>
              <w:rPr>
                <w:sz w:val="20"/>
                <w:szCs w:val="20"/>
              </w:rPr>
            </w:pPr>
          </w:p>
        </w:tc>
        <w:tc>
          <w:tcPr>
            <w:tcW w:w="3690" w:type="dxa"/>
          </w:tcPr>
          <w:p w14:paraId="50068B69" w14:textId="77777777" w:rsidR="00381964" w:rsidRPr="003847E7" w:rsidRDefault="00381964" w:rsidP="00EE5134">
            <w:pPr>
              <w:ind w:left="79" w:hanging="79"/>
              <w:rPr>
                <w:sz w:val="20"/>
                <w:szCs w:val="20"/>
              </w:rPr>
            </w:pPr>
          </w:p>
        </w:tc>
      </w:tr>
      <w:tr w:rsidR="00381964" w:rsidRPr="003847E7" w14:paraId="3E1BA306" w14:textId="77777777" w:rsidTr="00EE5134">
        <w:trPr>
          <w:cantSplit/>
          <w:tblHeader/>
        </w:trPr>
        <w:tc>
          <w:tcPr>
            <w:tcW w:w="2302" w:type="dxa"/>
          </w:tcPr>
          <w:p w14:paraId="147FD62D" w14:textId="77777777" w:rsidR="00381964" w:rsidRPr="003847E7" w:rsidRDefault="00381964" w:rsidP="00EE5134">
            <w:pPr>
              <w:rPr>
                <w:i/>
                <w:iCs/>
                <w:sz w:val="20"/>
                <w:szCs w:val="20"/>
              </w:rPr>
            </w:pPr>
            <w:r w:rsidRPr="003847E7">
              <w:rPr>
                <w:i/>
                <w:iCs/>
                <w:sz w:val="20"/>
                <w:szCs w:val="20"/>
              </w:rPr>
              <w:t xml:space="preserve">Mazama </w:t>
            </w:r>
            <w:proofErr w:type="spellStart"/>
            <w:r w:rsidRPr="003847E7">
              <w:rPr>
                <w:i/>
                <w:iCs/>
                <w:sz w:val="20"/>
                <w:szCs w:val="20"/>
              </w:rPr>
              <w:t>americana</w:t>
            </w:r>
            <w:proofErr w:type="spellEnd"/>
            <w:r w:rsidRPr="003847E7">
              <w:rPr>
                <w:i/>
                <w:iCs/>
                <w:sz w:val="20"/>
                <w:szCs w:val="20"/>
              </w:rPr>
              <w:t xml:space="preserve"> </w:t>
            </w:r>
          </w:p>
        </w:tc>
        <w:tc>
          <w:tcPr>
            <w:tcW w:w="1878" w:type="dxa"/>
          </w:tcPr>
          <w:p w14:paraId="07482B1B" w14:textId="30E5C306" w:rsidR="00381964" w:rsidRPr="003847E7" w:rsidRDefault="005D240F" w:rsidP="00EE5134">
            <w:pPr>
              <w:ind w:left="79" w:hanging="79"/>
              <w:rPr>
                <w:i/>
                <w:sz w:val="20"/>
                <w:szCs w:val="20"/>
              </w:rPr>
            </w:pPr>
            <w:r>
              <w:rPr>
                <w:b/>
                <w:i/>
                <w:noProof/>
                <w:sz w:val="20"/>
                <w:szCs w:val="20"/>
              </w:rPr>
              <w:t>bósá</w:t>
            </w:r>
          </w:p>
        </w:tc>
        <w:tc>
          <w:tcPr>
            <w:tcW w:w="1598" w:type="dxa"/>
          </w:tcPr>
          <w:p w14:paraId="76AA6B78" w14:textId="77777777" w:rsidR="00381964" w:rsidRPr="003847E7" w:rsidRDefault="00381964" w:rsidP="00EE5134">
            <w:pPr>
              <w:rPr>
                <w:i/>
                <w:sz w:val="20"/>
                <w:szCs w:val="20"/>
                <w:lang w:val="es-PE"/>
              </w:rPr>
            </w:pPr>
            <w:r w:rsidRPr="003847E7">
              <w:rPr>
                <w:i/>
                <w:sz w:val="20"/>
                <w:szCs w:val="20"/>
                <w:lang w:val="es-PE"/>
              </w:rPr>
              <w:t xml:space="preserve">venado colorado </w:t>
            </w:r>
          </w:p>
        </w:tc>
        <w:tc>
          <w:tcPr>
            <w:tcW w:w="1800" w:type="dxa"/>
          </w:tcPr>
          <w:p w14:paraId="02E9D16F" w14:textId="77777777" w:rsidR="00381964" w:rsidRPr="003847E7" w:rsidRDefault="00381964" w:rsidP="00EE5134">
            <w:pPr>
              <w:ind w:left="79" w:hanging="79"/>
              <w:rPr>
                <w:b/>
                <w:noProof/>
                <w:sz w:val="20"/>
                <w:szCs w:val="20"/>
              </w:rPr>
            </w:pPr>
            <w:r w:rsidRPr="003847E7">
              <w:rPr>
                <w:sz w:val="20"/>
                <w:szCs w:val="20"/>
              </w:rPr>
              <w:t>red brocket deer</w:t>
            </w:r>
          </w:p>
        </w:tc>
        <w:tc>
          <w:tcPr>
            <w:tcW w:w="1800" w:type="dxa"/>
          </w:tcPr>
          <w:p w14:paraId="5F144618" w14:textId="77777777" w:rsidR="00381964" w:rsidRPr="003847E7" w:rsidRDefault="00381964" w:rsidP="00EE5134">
            <w:pPr>
              <w:rPr>
                <w:sz w:val="20"/>
                <w:szCs w:val="20"/>
              </w:rPr>
            </w:pPr>
            <w:r w:rsidRPr="003847E7">
              <w:rPr>
                <w:sz w:val="20"/>
                <w:szCs w:val="20"/>
              </w:rPr>
              <w:t xml:space="preserve">night, rarely during day </w:t>
            </w:r>
          </w:p>
        </w:tc>
        <w:tc>
          <w:tcPr>
            <w:tcW w:w="3690" w:type="dxa"/>
          </w:tcPr>
          <w:p w14:paraId="27D1FE75" w14:textId="77777777" w:rsidR="00381964" w:rsidRPr="003847E7" w:rsidRDefault="00381964" w:rsidP="00EE5134">
            <w:pPr>
              <w:ind w:left="79" w:hanging="79"/>
              <w:rPr>
                <w:sz w:val="20"/>
                <w:szCs w:val="20"/>
              </w:rPr>
            </w:pPr>
            <w:r w:rsidRPr="003847E7">
              <w:rPr>
                <w:sz w:val="20"/>
                <w:szCs w:val="20"/>
              </w:rPr>
              <w:t>eat, sell (meat), medicinal (antlers), adornment of houses (antlers), used to make drums (hide)</w:t>
            </w:r>
          </w:p>
        </w:tc>
      </w:tr>
      <w:tr w:rsidR="00381964" w:rsidRPr="003847E7" w14:paraId="6DCF2F15" w14:textId="77777777" w:rsidTr="00EE5134">
        <w:trPr>
          <w:cantSplit/>
          <w:tblHeader/>
        </w:trPr>
        <w:tc>
          <w:tcPr>
            <w:tcW w:w="2302" w:type="dxa"/>
          </w:tcPr>
          <w:p w14:paraId="4549F2D3" w14:textId="77777777" w:rsidR="00381964" w:rsidRPr="003847E7" w:rsidRDefault="00381964" w:rsidP="00EE5134">
            <w:pPr>
              <w:rPr>
                <w:sz w:val="20"/>
                <w:szCs w:val="20"/>
              </w:rPr>
            </w:pPr>
          </w:p>
        </w:tc>
        <w:tc>
          <w:tcPr>
            <w:tcW w:w="1878" w:type="dxa"/>
          </w:tcPr>
          <w:p w14:paraId="40F553BB" w14:textId="77777777" w:rsidR="00381964" w:rsidRPr="003847E7" w:rsidRDefault="00381964" w:rsidP="00EE5134">
            <w:pPr>
              <w:ind w:left="79" w:hanging="79"/>
              <w:rPr>
                <w:i/>
                <w:sz w:val="20"/>
                <w:szCs w:val="20"/>
              </w:rPr>
            </w:pPr>
          </w:p>
        </w:tc>
        <w:tc>
          <w:tcPr>
            <w:tcW w:w="1598" w:type="dxa"/>
          </w:tcPr>
          <w:p w14:paraId="1E9A06ED" w14:textId="77777777" w:rsidR="00381964" w:rsidRPr="003847E7" w:rsidRDefault="00381964" w:rsidP="00EE5134">
            <w:pPr>
              <w:rPr>
                <w:i/>
                <w:sz w:val="20"/>
                <w:szCs w:val="20"/>
                <w:lang w:val="es-PE"/>
              </w:rPr>
            </w:pPr>
          </w:p>
        </w:tc>
        <w:tc>
          <w:tcPr>
            <w:tcW w:w="1800" w:type="dxa"/>
          </w:tcPr>
          <w:p w14:paraId="16086B59" w14:textId="77777777" w:rsidR="00381964" w:rsidRPr="003847E7" w:rsidRDefault="00381964" w:rsidP="00EE5134">
            <w:pPr>
              <w:rPr>
                <w:sz w:val="20"/>
                <w:szCs w:val="20"/>
                <w:lang w:val="es-PE"/>
              </w:rPr>
            </w:pPr>
          </w:p>
        </w:tc>
        <w:tc>
          <w:tcPr>
            <w:tcW w:w="1800" w:type="dxa"/>
          </w:tcPr>
          <w:p w14:paraId="5C0AE01D" w14:textId="77777777" w:rsidR="00381964" w:rsidRPr="003847E7" w:rsidRDefault="00381964" w:rsidP="00EE5134">
            <w:pPr>
              <w:rPr>
                <w:sz w:val="20"/>
                <w:szCs w:val="20"/>
              </w:rPr>
            </w:pPr>
          </w:p>
        </w:tc>
        <w:tc>
          <w:tcPr>
            <w:tcW w:w="3690" w:type="dxa"/>
          </w:tcPr>
          <w:p w14:paraId="2844ADE0" w14:textId="77777777" w:rsidR="00381964" w:rsidRPr="003847E7" w:rsidRDefault="00381964" w:rsidP="00EE5134">
            <w:pPr>
              <w:ind w:left="79" w:hanging="79"/>
              <w:rPr>
                <w:sz w:val="20"/>
                <w:szCs w:val="20"/>
              </w:rPr>
            </w:pPr>
          </w:p>
        </w:tc>
      </w:tr>
      <w:tr w:rsidR="00381964" w:rsidRPr="003847E7" w14:paraId="0D39429B" w14:textId="77777777" w:rsidTr="00EE5134">
        <w:trPr>
          <w:cantSplit/>
          <w:tblHeader/>
        </w:trPr>
        <w:tc>
          <w:tcPr>
            <w:tcW w:w="2302" w:type="dxa"/>
          </w:tcPr>
          <w:p w14:paraId="404E281F" w14:textId="77777777" w:rsidR="00381964" w:rsidRPr="003847E7" w:rsidRDefault="00381964" w:rsidP="00EE5134">
            <w:pPr>
              <w:rPr>
                <w:i/>
                <w:iCs/>
                <w:sz w:val="20"/>
                <w:szCs w:val="20"/>
              </w:rPr>
            </w:pPr>
            <w:proofErr w:type="spellStart"/>
            <w:r w:rsidRPr="003847E7">
              <w:rPr>
                <w:i/>
                <w:iCs/>
                <w:sz w:val="20"/>
                <w:szCs w:val="20"/>
              </w:rPr>
              <w:t>Tapirus</w:t>
            </w:r>
            <w:proofErr w:type="spellEnd"/>
            <w:r w:rsidRPr="003847E7">
              <w:rPr>
                <w:i/>
                <w:iCs/>
                <w:sz w:val="20"/>
                <w:szCs w:val="20"/>
              </w:rPr>
              <w:t xml:space="preserve"> </w:t>
            </w:r>
            <w:proofErr w:type="spellStart"/>
            <w:r w:rsidRPr="003847E7">
              <w:rPr>
                <w:i/>
                <w:iCs/>
                <w:sz w:val="20"/>
                <w:szCs w:val="20"/>
              </w:rPr>
              <w:t>terrestris</w:t>
            </w:r>
            <w:proofErr w:type="spellEnd"/>
            <w:r w:rsidRPr="003847E7">
              <w:rPr>
                <w:i/>
                <w:iCs/>
                <w:sz w:val="20"/>
                <w:szCs w:val="20"/>
              </w:rPr>
              <w:t xml:space="preserve"> </w:t>
            </w:r>
          </w:p>
        </w:tc>
        <w:tc>
          <w:tcPr>
            <w:tcW w:w="1878" w:type="dxa"/>
          </w:tcPr>
          <w:p w14:paraId="116611E5" w14:textId="258CA713" w:rsidR="00381964" w:rsidRPr="003847E7" w:rsidRDefault="00B216F3" w:rsidP="00EE5134">
            <w:pPr>
              <w:ind w:left="79" w:hanging="79"/>
              <w:rPr>
                <w:i/>
                <w:sz w:val="20"/>
                <w:szCs w:val="20"/>
              </w:rPr>
            </w:pPr>
            <w:r>
              <w:rPr>
                <w:b/>
                <w:i/>
                <w:noProof/>
                <w:sz w:val="20"/>
                <w:szCs w:val="20"/>
              </w:rPr>
              <w:t>bék</w:t>
            </w:r>
            <w:r w:rsidRPr="0005259E">
              <w:rPr>
                <w:b/>
                <w:i/>
                <w:strike/>
                <w:noProof/>
                <w:sz w:val="20"/>
                <w:szCs w:val="20"/>
              </w:rPr>
              <w:t>í</w:t>
            </w:r>
            <w:r w:rsidR="00381964" w:rsidRPr="003847E7">
              <w:rPr>
                <w:b/>
                <w:i/>
                <w:noProof/>
                <w:sz w:val="20"/>
                <w:szCs w:val="20"/>
              </w:rPr>
              <w:t xml:space="preserve">, </w:t>
            </w:r>
            <w:r w:rsidR="009B47F7">
              <w:rPr>
                <w:b/>
                <w:i/>
                <w:noProof/>
                <w:sz w:val="20"/>
                <w:szCs w:val="20"/>
              </w:rPr>
              <w:t>jáíkò</w:t>
            </w:r>
          </w:p>
        </w:tc>
        <w:tc>
          <w:tcPr>
            <w:tcW w:w="1598" w:type="dxa"/>
          </w:tcPr>
          <w:p w14:paraId="13C92F7F" w14:textId="1FF24B29" w:rsidR="00381964" w:rsidRPr="003847E7" w:rsidRDefault="00381964" w:rsidP="00EE5134">
            <w:pPr>
              <w:rPr>
                <w:i/>
                <w:sz w:val="20"/>
                <w:szCs w:val="20"/>
                <w:lang w:val="es-PE"/>
              </w:rPr>
            </w:pPr>
            <w:r w:rsidRPr="003847E7">
              <w:rPr>
                <w:i/>
                <w:sz w:val="20"/>
                <w:szCs w:val="20"/>
                <w:lang w:val="es-PE"/>
              </w:rPr>
              <w:t xml:space="preserve">sachavaca </w:t>
            </w:r>
          </w:p>
        </w:tc>
        <w:tc>
          <w:tcPr>
            <w:tcW w:w="1800" w:type="dxa"/>
          </w:tcPr>
          <w:p w14:paraId="282FE28C" w14:textId="6A5DA5A8" w:rsidR="00381964" w:rsidRPr="003847E7" w:rsidRDefault="008F1223" w:rsidP="00EE5134">
            <w:pPr>
              <w:ind w:left="79" w:hanging="79"/>
              <w:rPr>
                <w:b/>
                <w:noProof/>
                <w:sz w:val="20"/>
                <w:szCs w:val="20"/>
              </w:rPr>
            </w:pPr>
            <w:r>
              <w:rPr>
                <w:sz w:val="20"/>
                <w:szCs w:val="20"/>
              </w:rPr>
              <w:t>lowland</w:t>
            </w:r>
            <w:r w:rsidR="00381964" w:rsidRPr="003847E7">
              <w:rPr>
                <w:sz w:val="20"/>
                <w:szCs w:val="20"/>
              </w:rPr>
              <w:t xml:space="preserve"> tapir</w:t>
            </w:r>
          </w:p>
        </w:tc>
        <w:tc>
          <w:tcPr>
            <w:tcW w:w="1800" w:type="dxa"/>
          </w:tcPr>
          <w:p w14:paraId="5012CC4E" w14:textId="77777777" w:rsidR="00381964" w:rsidRPr="003847E7" w:rsidRDefault="00381964" w:rsidP="00EE5134">
            <w:pPr>
              <w:rPr>
                <w:sz w:val="20"/>
                <w:szCs w:val="20"/>
              </w:rPr>
            </w:pPr>
            <w:r w:rsidRPr="003847E7">
              <w:rPr>
                <w:sz w:val="20"/>
                <w:szCs w:val="20"/>
              </w:rPr>
              <w:t>night</w:t>
            </w:r>
          </w:p>
        </w:tc>
        <w:tc>
          <w:tcPr>
            <w:tcW w:w="3690" w:type="dxa"/>
          </w:tcPr>
          <w:p w14:paraId="7C34B60E" w14:textId="77777777" w:rsidR="00381964" w:rsidRPr="003847E7" w:rsidRDefault="00381964" w:rsidP="00EE5134">
            <w:pPr>
              <w:ind w:left="79" w:hanging="79"/>
              <w:rPr>
                <w:sz w:val="20"/>
                <w:szCs w:val="20"/>
              </w:rPr>
            </w:pPr>
            <w:r w:rsidRPr="003847E7">
              <w:rPr>
                <w:sz w:val="20"/>
                <w:szCs w:val="20"/>
              </w:rPr>
              <w:t>eat, sell (meat), medicinal (hooves), tourist crafts (hooves)</w:t>
            </w:r>
          </w:p>
        </w:tc>
      </w:tr>
      <w:tr w:rsidR="00381964" w:rsidRPr="003847E7" w14:paraId="531A0C2C" w14:textId="77777777" w:rsidTr="00EE5134">
        <w:trPr>
          <w:cantSplit/>
          <w:tblHeader/>
        </w:trPr>
        <w:tc>
          <w:tcPr>
            <w:tcW w:w="2302" w:type="dxa"/>
          </w:tcPr>
          <w:p w14:paraId="68BCF02D" w14:textId="77777777" w:rsidR="00381964" w:rsidRPr="003847E7" w:rsidRDefault="00381964" w:rsidP="00EE5134">
            <w:pPr>
              <w:rPr>
                <w:sz w:val="20"/>
                <w:szCs w:val="20"/>
              </w:rPr>
            </w:pPr>
          </w:p>
        </w:tc>
        <w:tc>
          <w:tcPr>
            <w:tcW w:w="1878" w:type="dxa"/>
          </w:tcPr>
          <w:p w14:paraId="3356CD35" w14:textId="77777777" w:rsidR="00381964" w:rsidRPr="003847E7" w:rsidRDefault="00381964" w:rsidP="00EE5134">
            <w:pPr>
              <w:ind w:left="79" w:hanging="79"/>
              <w:rPr>
                <w:i/>
                <w:sz w:val="20"/>
                <w:szCs w:val="20"/>
              </w:rPr>
            </w:pPr>
          </w:p>
        </w:tc>
        <w:tc>
          <w:tcPr>
            <w:tcW w:w="1598" w:type="dxa"/>
          </w:tcPr>
          <w:p w14:paraId="240B4272" w14:textId="77777777" w:rsidR="00381964" w:rsidRPr="003847E7" w:rsidRDefault="00381964" w:rsidP="00EE5134">
            <w:pPr>
              <w:rPr>
                <w:i/>
                <w:sz w:val="20"/>
                <w:szCs w:val="20"/>
                <w:lang w:val="es-PE"/>
              </w:rPr>
            </w:pPr>
          </w:p>
        </w:tc>
        <w:tc>
          <w:tcPr>
            <w:tcW w:w="1800" w:type="dxa"/>
          </w:tcPr>
          <w:p w14:paraId="5F00E13C" w14:textId="77777777" w:rsidR="00381964" w:rsidRPr="003847E7" w:rsidRDefault="00381964" w:rsidP="00EE5134">
            <w:pPr>
              <w:rPr>
                <w:sz w:val="20"/>
                <w:szCs w:val="20"/>
                <w:lang w:val="es-PE"/>
              </w:rPr>
            </w:pPr>
          </w:p>
        </w:tc>
        <w:tc>
          <w:tcPr>
            <w:tcW w:w="1800" w:type="dxa"/>
          </w:tcPr>
          <w:p w14:paraId="3FCDA220" w14:textId="77777777" w:rsidR="00381964" w:rsidRPr="003847E7" w:rsidRDefault="00381964" w:rsidP="00EE5134">
            <w:pPr>
              <w:rPr>
                <w:sz w:val="20"/>
                <w:szCs w:val="20"/>
              </w:rPr>
            </w:pPr>
          </w:p>
        </w:tc>
        <w:tc>
          <w:tcPr>
            <w:tcW w:w="3690" w:type="dxa"/>
          </w:tcPr>
          <w:p w14:paraId="4ED16B9C" w14:textId="77777777" w:rsidR="00381964" w:rsidRPr="003847E7" w:rsidRDefault="00381964" w:rsidP="00EE5134">
            <w:pPr>
              <w:ind w:left="79" w:hanging="79"/>
              <w:rPr>
                <w:sz w:val="20"/>
                <w:szCs w:val="20"/>
              </w:rPr>
            </w:pPr>
          </w:p>
        </w:tc>
      </w:tr>
      <w:tr w:rsidR="00381964" w:rsidRPr="003847E7" w14:paraId="448D75D7" w14:textId="77777777" w:rsidTr="00EE5134">
        <w:trPr>
          <w:cantSplit/>
          <w:tblHeader/>
        </w:trPr>
        <w:tc>
          <w:tcPr>
            <w:tcW w:w="2302" w:type="dxa"/>
          </w:tcPr>
          <w:p w14:paraId="2951DF49" w14:textId="77777777" w:rsidR="00381964" w:rsidRPr="003847E7" w:rsidRDefault="00381964" w:rsidP="00EE5134">
            <w:pPr>
              <w:rPr>
                <w:i/>
                <w:iCs/>
                <w:sz w:val="20"/>
                <w:szCs w:val="20"/>
              </w:rPr>
            </w:pPr>
            <w:proofErr w:type="spellStart"/>
            <w:r w:rsidRPr="003847E7">
              <w:rPr>
                <w:i/>
                <w:iCs/>
                <w:sz w:val="20"/>
                <w:szCs w:val="20"/>
              </w:rPr>
              <w:t>Tayassu</w:t>
            </w:r>
            <w:proofErr w:type="spellEnd"/>
            <w:r w:rsidRPr="003847E7">
              <w:rPr>
                <w:i/>
                <w:iCs/>
                <w:sz w:val="20"/>
                <w:szCs w:val="20"/>
              </w:rPr>
              <w:t xml:space="preserve"> </w:t>
            </w:r>
            <w:proofErr w:type="spellStart"/>
            <w:r w:rsidRPr="003847E7">
              <w:rPr>
                <w:i/>
                <w:iCs/>
                <w:sz w:val="20"/>
                <w:szCs w:val="20"/>
              </w:rPr>
              <w:t>pecari</w:t>
            </w:r>
            <w:proofErr w:type="spellEnd"/>
          </w:p>
        </w:tc>
        <w:tc>
          <w:tcPr>
            <w:tcW w:w="1878" w:type="dxa"/>
          </w:tcPr>
          <w:p w14:paraId="44EFAB31" w14:textId="15DAD48D" w:rsidR="00381964" w:rsidRPr="003847E7" w:rsidRDefault="00FB1A6F" w:rsidP="00EE5134">
            <w:pPr>
              <w:ind w:left="79" w:hanging="79"/>
              <w:rPr>
                <w:i/>
                <w:sz w:val="20"/>
                <w:szCs w:val="20"/>
              </w:rPr>
            </w:pPr>
            <w:r>
              <w:rPr>
                <w:b/>
                <w:i/>
                <w:noProof/>
                <w:sz w:val="20"/>
                <w:szCs w:val="20"/>
              </w:rPr>
              <w:t>b</w:t>
            </w:r>
            <w:r w:rsidRPr="0005259E">
              <w:rPr>
                <w:b/>
                <w:i/>
                <w:strike/>
                <w:noProof/>
                <w:sz w:val="20"/>
                <w:szCs w:val="20"/>
              </w:rPr>
              <w:t>í</w:t>
            </w:r>
            <w:r>
              <w:rPr>
                <w:b/>
                <w:i/>
                <w:noProof/>
                <w:sz w:val="20"/>
                <w:szCs w:val="20"/>
              </w:rPr>
              <w:t>r</w:t>
            </w:r>
            <w:r w:rsidRPr="0005259E">
              <w:rPr>
                <w:b/>
                <w:i/>
                <w:strike/>
                <w:noProof/>
                <w:sz w:val="20"/>
                <w:szCs w:val="20"/>
              </w:rPr>
              <w:t>í</w:t>
            </w:r>
            <w:r w:rsidR="002A1E67" w:rsidRPr="0005259E">
              <w:rPr>
                <w:bCs/>
                <w:i/>
                <w:noProof/>
                <w:sz w:val="20"/>
                <w:szCs w:val="20"/>
              </w:rPr>
              <w:t>,</w:t>
            </w:r>
            <w:r w:rsidR="002A1E67" w:rsidRPr="0005259E">
              <w:rPr>
                <w:b/>
                <w:i/>
                <w:noProof/>
                <w:sz w:val="20"/>
                <w:szCs w:val="20"/>
              </w:rPr>
              <w:t xml:space="preserve"> bàì</w:t>
            </w:r>
          </w:p>
        </w:tc>
        <w:tc>
          <w:tcPr>
            <w:tcW w:w="1598" w:type="dxa"/>
          </w:tcPr>
          <w:p w14:paraId="39874F11" w14:textId="77777777" w:rsidR="00381964" w:rsidRPr="003847E7" w:rsidRDefault="00381964" w:rsidP="00EE5134">
            <w:pPr>
              <w:rPr>
                <w:i/>
                <w:sz w:val="20"/>
                <w:szCs w:val="20"/>
                <w:lang w:val="es-PE"/>
              </w:rPr>
            </w:pPr>
            <w:r w:rsidRPr="003847E7">
              <w:rPr>
                <w:i/>
                <w:sz w:val="20"/>
                <w:szCs w:val="20"/>
                <w:lang w:val="es-PE"/>
              </w:rPr>
              <w:t xml:space="preserve">huangana </w:t>
            </w:r>
          </w:p>
        </w:tc>
        <w:tc>
          <w:tcPr>
            <w:tcW w:w="1800" w:type="dxa"/>
          </w:tcPr>
          <w:p w14:paraId="16F117F8" w14:textId="77777777" w:rsidR="00381964" w:rsidRPr="003847E7" w:rsidRDefault="00381964" w:rsidP="00EE5134">
            <w:pPr>
              <w:ind w:left="79" w:hanging="79"/>
              <w:rPr>
                <w:b/>
                <w:noProof/>
                <w:sz w:val="20"/>
                <w:szCs w:val="20"/>
              </w:rPr>
            </w:pPr>
            <w:r w:rsidRPr="003847E7">
              <w:rPr>
                <w:sz w:val="20"/>
                <w:szCs w:val="20"/>
              </w:rPr>
              <w:t>white-lipped peccary</w:t>
            </w:r>
          </w:p>
        </w:tc>
        <w:tc>
          <w:tcPr>
            <w:tcW w:w="1800" w:type="dxa"/>
          </w:tcPr>
          <w:p w14:paraId="3A3141F0" w14:textId="77777777" w:rsidR="00381964" w:rsidRPr="003847E7" w:rsidRDefault="00381964" w:rsidP="00EE5134">
            <w:pPr>
              <w:rPr>
                <w:sz w:val="20"/>
                <w:szCs w:val="20"/>
              </w:rPr>
            </w:pPr>
            <w:r w:rsidRPr="003847E7">
              <w:rPr>
                <w:sz w:val="20"/>
                <w:szCs w:val="20"/>
              </w:rPr>
              <w:t>day</w:t>
            </w:r>
          </w:p>
        </w:tc>
        <w:tc>
          <w:tcPr>
            <w:tcW w:w="3690" w:type="dxa"/>
          </w:tcPr>
          <w:p w14:paraId="0EBB5A8C" w14:textId="77777777" w:rsidR="00381964" w:rsidRPr="003847E7" w:rsidRDefault="00381964" w:rsidP="00EE5134">
            <w:pPr>
              <w:ind w:left="79" w:hanging="79"/>
              <w:rPr>
                <w:sz w:val="20"/>
                <w:szCs w:val="20"/>
              </w:rPr>
            </w:pPr>
            <w:r w:rsidRPr="003847E7">
              <w:rPr>
                <w:sz w:val="20"/>
                <w:szCs w:val="20"/>
              </w:rPr>
              <w:t>eat, sell (meat and hide), tourist crafts (teeth), used to make drums (hide)</w:t>
            </w:r>
          </w:p>
        </w:tc>
      </w:tr>
      <w:tr w:rsidR="00381964" w:rsidRPr="003847E7" w14:paraId="265AA9A4" w14:textId="77777777" w:rsidTr="00EE5134">
        <w:trPr>
          <w:cantSplit/>
          <w:tblHeader/>
        </w:trPr>
        <w:tc>
          <w:tcPr>
            <w:tcW w:w="2302" w:type="dxa"/>
          </w:tcPr>
          <w:p w14:paraId="01EE8FCD" w14:textId="77777777" w:rsidR="00381964" w:rsidRPr="003847E7" w:rsidRDefault="00381964" w:rsidP="00EE5134">
            <w:pPr>
              <w:rPr>
                <w:i/>
                <w:iCs/>
                <w:sz w:val="20"/>
                <w:szCs w:val="20"/>
              </w:rPr>
            </w:pPr>
          </w:p>
        </w:tc>
        <w:tc>
          <w:tcPr>
            <w:tcW w:w="1878" w:type="dxa"/>
          </w:tcPr>
          <w:p w14:paraId="380F6505" w14:textId="77777777" w:rsidR="00381964" w:rsidRPr="003847E7" w:rsidRDefault="00381964" w:rsidP="00EE5134">
            <w:pPr>
              <w:ind w:left="79" w:hanging="79"/>
              <w:rPr>
                <w:i/>
                <w:sz w:val="20"/>
                <w:szCs w:val="20"/>
              </w:rPr>
            </w:pPr>
          </w:p>
        </w:tc>
        <w:tc>
          <w:tcPr>
            <w:tcW w:w="1598" w:type="dxa"/>
          </w:tcPr>
          <w:p w14:paraId="41A3377A" w14:textId="77777777" w:rsidR="00381964" w:rsidRPr="003847E7" w:rsidRDefault="00381964" w:rsidP="00EE5134">
            <w:pPr>
              <w:ind w:left="79" w:hanging="79"/>
              <w:rPr>
                <w:b/>
                <w:i/>
                <w:noProof/>
                <w:sz w:val="20"/>
                <w:szCs w:val="20"/>
              </w:rPr>
            </w:pPr>
          </w:p>
        </w:tc>
        <w:tc>
          <w:tcPr>
            <w:tcW w:w="1800" w:type="dxa"/>
          </w:tcPr>
          <w:p w14:paraId="2D9418D1" w14:textId="77777777" w:rsidR="00381964" w:rsidRPr="003847E7" w:rsidRDefault="00381964" w:rsidP="00EE5134">
            <w:pPr>
              <w:ind w:left="79" w:hanging="79"/>
              <w:rPr>
                <w:b/>
                <w:noProof/>
                <w:sz w:val="20"/>
                <w:szCs w:val="20"/>
              </w:rPr>
            </w:pPr>
          </w:p>
        </w:tc>
        <w:tc>
          <w:tcPr>
            <w:tcW w:w="1800" w:type="dxa"/>
          </w:tcPr>
          <w:p w14:paraId="2588C712" w14:textId="77777777" w:rsidR="00381964" w:rsidRPr="003847E7" w:rsidRDefault="00381964" w:rsidP="00EE5134">
            <w:pPr>
              <w:rPr>
                <w:sz w:val="20"/>
                <w:szCs w:val="20"/>
              </w:rPr>
            </w:pPr>
          </w:p>
        </w:tc>
        <w:tc>
          <w:tcPr>
            <w:tcW w:w="3690" w:type="dxa"/>
          </w:tcPr>
          <w:p w14:paraId="0B49B969" w14:textId="77777777" w:rsidR="00381964" w:rsidRPr="003847E7" w:rsidRDefault="00381964" w:rsidP="00EE5134">
            <w:pPr>
              <w:ind w:left="79" w:hanging="79"/>
              <w:rPr>
                <w:sz w:val="20"/>
                <w:szCs w:val="20"/>
              </w:rPr>
            </w:pPr>
          </w:p>
        </w:tc>
      </w:tr>
      <w:tr w:rsidR="00381964" w:rsidRPr="003847E7" w14:paraId="63C9E12A" w14:textId="77777777" w:rsidTr="00EE5134">
        <w:trPr>
          <w:cantSplit/>
          <w:tblHeader/>
        </w:trPr>
        <w:tc>
          <w:tcPr>
            <w:tcW w:w="2302" w:type="dxa"/>
            <w:tcBorders>
              <w:bottom w:val="single" w:sz="4" w:space="0" w:color="auto"/>
            </w:tcBorders>
          </w:tcPr>
          <w:p w14:paraId="7F2AD0C4" w14:textId="0718DE3F" w:rsidR="00381964" w:rsidRPr="003847E7" w:rsidRDefault="00A13467" w:rsidP="00EE5134">
            <w:pPr>
              <w:rPr>
                <w:i/>
                <w:iCs/>
                <w:sz w:val="20"/>
                <w:szCs w:val="20"/>
              </w:rPr>
            </w:pPr>
            <w:proofErr w:type="spellStart"/>
            <w:r w:rsidRPr="00A13467">
              <w:rPr>
                <w:i/>
                <w:iCs/>
                <w:sz w:val="20"/>
                <w:szCs w:val="20"/>
              </w:rPr>
              <w:t>Pecari</w:t>
            </w:r>
            <w:proofErr w:type="spellEnd"/>
            <w:r w:rsidRPr="00A13467">
              <w:rPr>
                <w:i/>
                <w:iCs/>
                <w:sz w:val="20"/>
                <w:szCs w:val="20"/>
              </w:rPr>
              <w:t xml:space="preserve"> </w:t>
            </w:r>
            <w:proofErr w:type="spellStart"/>
            <w:r w:rsidR="00381964" w:rsidRPr="003847E7">
              <w:rPr>
                <w:i/>
                <w:iCs/>
                <w:sz w:val="20"/>
                <w:szCs w:val="20"/>
              </w:rPr>
              <w:t>tajacu</w:t>
            </w:r>
            <w:proofErr w:type="spellEnd"/>
          </w:p>
        </w:tc>
        <w:tc>
          <w:tcPr>
            <w:tcW w:w="1878" w:type="dxa"/>
            <w:tcBorders>
              <w:bottom w:val="single" w:sz="4" w:space="0" w:color="auto"/>
            </w:tcBorders>
          </w:tcPr>
          <w:p w14:paraId="2897E764" w14:textId="568D7E1A" w:rsidR="00381964" w:rsidRPr="003847E7" w:rsidRDefault="00713547" w:rsidP="00EE5134">
            <w:pPr>
              <w:ind w:left="79" w:hanging="79"/>
              <w:rPr>
                <w:i/>
                <w:sz w:val="20"/>
                <w:szCs w:val="20"/>
              </w:rPr>
            </w:pPr>
            <w:r>
              <w:rPr>
                <w:b/>
                <w:i/>
                <w:noProof/>
                <w:sz w:val="20"/>
                <w:szCs w:val="20"/>
              </w:rPr>
              <w:t>káókwà</w:t>
            </w:r>
          </w:p>
        </w:tc>
        <w:tc>
          <w:tcPr>
            <w:tcW w:w="1598" w:type="dxa"/>
            <w:tcBorders>
              <w:bottom w:val="single" w:sz="4" w:space="0" w:color="auto"/>
            </w:tcBorders>
          </w:tcPr>
          <w:p w14:paraId="6694A84A" w14:textId="77777777" w:rsidR="00381964" w:rsidRPr="003847E7" w:rsidRDefault="00381964" w:rsidP="00EE5134">
            <w:pPr>
              <w:rPr>
                <w:i/>
                <w:sz w:val="20"/>
                <w:szCs w:val="20"/>
                <w:lang w:val="es-PE"/>
              </w:rPr>
            </w:pPr>
            <w:r w:rsidRPr="003847E7">
              <w:rPr>
                <w:i/>
                <w:sz w:val="20"/>
                <w:szCs w:val="20"/>
                <w:lang w:val="es-PE"/>
              </w:rPr>
              <w:t xml:space="preserve">sajino </w:t>
            </w:r>
          </w:p>
        </w:tc>
        <w:tc>
          <w:tcPr>
            <w:tcW w:w="1800" w:type="dxa"/>
            <w:tcBorders>
              <w:bottom w:val="single" w:sz="4" w:space="0" w:color="auto"/>
            </w:tcBorders>
          </w:tcPr>
          <w:p w14:paraId="70090B3A" w14:textId="77777777" w:rsidR="00381964" w:rsidRPr="003847E7" w:rsidRDefault="00381964" w:rsidP="00EE5134">
            <w:pPr>
              <w:ind w:left="79" w:hanging="79"/>
              <w:rPr>
                <w:b/>
                <w:noProof/>
                <w:sz w:val="20"/>
                <w:szCs w:val="20"/>
              </w:rPr>
            </w:pPr>
            <w:r w:rsidRPr="003847E7">
              <w:rPr>
                <w:sz w:val="20"/>
                <w:szCs w:val="20"/>
              </w:rPr>
              <w:t>collared peccary</w:t>
            </w:r>
          </w:p>
        </w:tc>
        <w:tc>
          <w:tcPr>
            <w:tcW w:w="1800" w:type="dxa"/>
            <w:tcBorders>
              <w:bottom w:val="single" w:sz="4" w:space="0" w:color="auto"/>
            </w:tcBorders>
          </w:tcPr>
          <w:p w14:paraId="2600A2F0" w14:textId="77777777" w:rsidR="00381964" w:rsidRPr="003847E7" w:rsidRDefault="00381964" w:rsidP="00EE5134">
            <w:pPr>
              <w:rPr>
                <w:sz w:val="20"/>
                <w:szCs w:val="20"/>
              </w:rPr>
            </w:pPr>
            <w:r w:rsidRPr="003847E7">
              <w:rPr>
                <w:sz w:val="20"/>
                <w:szCs w:val="20"/>
              </w:rPr>
              <w:t>day</w:t>
            </w:r>
          </w:p>
        </w:tc>
        <w:tc>
          <w:tcPr>
            <w:tcW w:w="3690" w:type="dxa"/>
            <w:tcBorders>
              <w:bottom w:val="single" w:sz="4" w:space="0" w:color="auto"/>
            </w:tcBorders>
          </w:tcPr>
          <w:p w14:paraId="01779633" w14:textId="77777777" w:rsidR="00381964" w:rsidRPr="003847E7" w:rsidRDefault="00381964" w:rsidP="00EE5134">
            <w:pPr>
              <w:ind w:left="79" w:hanging="79"/>
              <w:rPr>
                <w:sz w:val="20"/>
                <w:szCs w:val="20"/>
              </w:rPr>
            </w:pPr>
            <w:r w:rsidRPr="003847E7">
              <w:rPr>
                <w:sz w:val="20"/>
                <w:szCs w:val="20"/>
              </w:rPr>
              <w:t>eat, sell (meat and hide), tourist crafts (teeth), used to make drums (hide)</w:t>
            </w:r>
          </w:p>
        </w:tc>
      </w:tr>
      <w:tr w:rsidR="00381964" w:rsidRPr="003847E7" w14:paraId="7146ACB7" w14:textId="77777777" w:rsidTr="00EE5134">
        <w:trPr>
          <w:cantSplit/>
          <w:tblHeader/>
        </w:trPr>
        <w:tc>
          <w:tcPr>
            <w:tcW w:w="2302" w:type="dxa"/>
            <w:tcBorders>
              <w:top w:val="single" w:sz="4" w:space="0" w:color="auto"/>
            </w:tcBorders>
          </w:tcPr>
          <w:p w14:paraId="52D002C4" w14:textId="77777777" w:rsidR="00381964" w:rsidRPr="003847E7" w:rsidRDefault="00381964" w:rsidP="00EE5134">
            <w:pPr>
              <w:rPr>
                <w:sz w:val="20"/>
                <w:szCs w:val="20"/>
              </w:rPr>
            </w:pPr>
          </w:p>
        </w:tc>
        <w:tc>
          <w:tcPr>
            <w:tcW w:w="1878" w:type="dxa"/>
            <w:tcBorders>
              <w:top w:val="single" w:sz="4" w:space="0" w:color="auto"/>
            </w:tcBorders>
          </w:tcPr>
          <w:p w14:paraId="1106FDD6" w14:textId="77777777" w:rsidR="00381964" w:rsidRPr="003847E7" w:rsidRDefault="00381964" w:rsidP="00EE5134">
            <w:pPr>
              <w:ind w:left="79" w:hanging="79"/>
              <w:rPr>
                <w:i/>
                <w:sz w:val="20"/>
                <w:szCs w:val="20"/>
              </w:rPr>
            </w:pPr>
          </w:p>
        </w:tc>
        <w:tc>
          <w:tcPr>
            <w:tcW w:w="1598" w:type="dxa"/>
            <w:tcBorders>
              <w:top w:val="single" w:sz="4" w:space="0" w:color="auto"/>
            </w:tcBorders>
          </w:tcPr>
          <w:p w14:paraId="5444AC0B" w14:textId="77777777" w:rsidR="00381964" w:rsidRPr="003847E7" w:rsidRDefault="00381964" w:rsidP="00EE5134">
            <w:pPr>
              <w:rPr>
                <w:sz w:val="20"/>
                <w:szCs w:val="20"/>
                <w:lang w:val="es-PE"/>
              </w:rPr>
            </w:pPr>
          </w:p>
        </w:tc>
        <w:tc>
          <w:tcPr>
            <w:tcW w:w="1800" w:type="dxa"/>
            <w:tcBorders>
              <w:top w:val="single" w:sz="4" w:space="0" w:color="auto"/>
            </w:tcBorders>
          </w:tcPr>
          <w:p w14:paraId="69890FC4" w14:textId="77777777" w:rsidR="00381964" w:rsidRPr="003847E7" w:rsidRDefault="00381964" w:rsidP="00EE5134">
            <w:pPr>
              <w:rPr>
                <w:sz w:val="20"/>
                <w:szCs w:val="20"/>
                <w:lang w:val="es-PE"/>
              </w:rPr>
            </w:pPr>
          </w:p>
        </w:tc>
        <w:tc>
          <w:tcPr>
            <w:tcW w:w="1800" w:type="dxa"/>
            <w:tcBorders>
              <w:top w:val="single" w:sz="4" w:space="0" w:color="auto"/>
            </w:tcBorders>
          </w:tcPr>
          <w:p w14:paraId="4A2EB003" w14:textId="77777777" w:rsidR="00381964" w:rsidRPr="003847E7" w:rsidRDefault="00381964" w:rsidP="00EE5134">
            <w:pPr>
              <w:rPr>
                <w:sz w:val="20"/>
                <w:szCs w:val="20"/>
              </w:rPr>
            </w:pPr>
          </w:p>
        </w:tc>
        <w:tc>
          <w:tcPr>
            <w:tcW w:w="3690" w:type="dxa"/>
            <w:tcBorders>
              <w:top w:val="single" w:sz="4" w:space="0" w:color="auto"/>
            </w:tcBorders>
          </w:tcPr>
          <w:p w14:paraId="7C234CCF" w14:textId="77777777" w:rsidR="00381964" w:rsidRPr="003847E7" w:rsidRDefault="00381964" w:rsidP="00EE5134">
            <w:pPr>
              <w:ind w:left="79" w:hanging="79"/>
              <w:rPr>
                <w:sz w:val="20"/>
                <w:szCs w:val="20"/>
              </w:rPr>
            </w:pPr>
          </w:p>
        </w:tc>
      </w:tr>
    </w:tbl>
    <w:p w14:paraId="3F5CCAB6" w14:textId="77777777" w:rsidR="00381964" w:rsidRDefault="00381964" w:rsidP="00381964"/>
    <w:sectPr w:rsidR="00381964" w:rsidSect="008B0F4F">
      <w:type w:val="continuous"/>
      <w:pgSz w:w="15840" w:h="12240" w:orient="landscape"/>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39660" w14:textId="77777777" w:rsidR="005D4A31" w:rsidRDefault="005D4A31" w:rsidP="00601742">
      <w:r>
        <w:separator/>
      </w:r>
    </w:p>
  </w:endnote>
  <w:endnote w:type="continuationSeparator" w:id="0">
    <w:p w14:paraId="7C116682" w14:textId="77777777" w:rsidR="005D4A31" w:rsidRDefault="005D4A31" w:rsidP="0060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2893645"/>
      <w:docPartObj>
        <w:docPartGallery w:val="Page Numbers (Bottom of Page)"/>
        <w:docPartUnique/>
      </w:docPartObj>
    </w:sdtPr>
    <w:sdtEndPr>
      <w:rPr>
        <w:rStyle w:val="PageNumber"/>
      </w:rPr>
    </w:sdtEndPr>
    <w:sdtContent>
      <w:p w14:paraId="6A016CD1" w14:textId="6A8D5585" w:rsidR="00A40372" w:rsidRDefault="00A40372" w:rsidP="00EE51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A80CD8" w14:textId="77777777" w:rsidR="00A40372" w:rsidRDefault="00A40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8589003"/>
      <w:docPartObj>
        <w:docPartGallery w:val="Page Numbers (Bottom of Page)"/>
        <w:docPartUnique/>
      </w:docPartObj>
    </w:sdtPr>
    <w:sdtEndPr>
      <w:rPr>
        <w:rStyle w:val="PageNumber"/>
      </w:rPr>
    </w:sdtEndPr>
    <w:sdtContent>
      <w:p w14:paraId="187947E6" w14:textId="7CAE26A8" w:rsidR="00A40372" w:rsidRDefault="00A40372" w:rsidP="00EE51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A7BFE4" w14:textId="77777777" w:rsidR="00A40372" w:rsidRDefault="00A40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1BC59" w14:textId="77777777" w:rsidR="005D4A31" w:rsidRDefault="005D4A31" w:rsidP="00601742">
      <w:r>
        <w:separator/>
      </w:r>
    </w:p>
  </w:footnote>
  <w:footnote w:type="continuationSeparator" w:id="0">
    <w:p w14:paraId="41088558" w14:textId="77777777" w:rsidR="005D4A31" w:rsidRDefault="005D4A31" w:rsidP="00601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2DD"/>
    <w:rsid w:val="000001D5"/>
    <w:rsid w:val="00000D8E"/>
    <w:rsid w:val="00003ACF"/>
    <w:rsid w:val="00010172"/>
    <w:rsid w:val="000122A3"/>
    <w:rsid w:val="00012668"/>
    <w:rsid w:val="0001321D"/>
    <w:rsid w:val="00020C01"/>
    <w:rsid w:val="00020D4B"/>
    <w:rsid w:val="00022B01"/>
    <w:rsid w:val="000233DD"/>
    <w:rsid w:val="00031FD0"/>
    <w:rsid w:val="000400CA"/>
    <w:rsid w:val="000427B6"/>
    <w:rsid w:val="00044F81"/>
    <w:rsid w:val="00046D51"/>
    <w:rsid w:val="0005259E"/>
    <w:rsid w:val="00052F40"/>
    <w:rsid w:val="000530EE"/>
    <w:rsid w:val="00053E1B"/>
    <w:rsid w:val="0005548D"/>
    <w:rsid w:val="00055B6C"/>
    <w:rsid w:val="00056203"/>
    <w:rsid w:val="00061F48"/>
    <w:rsid w:val="00061F7C"/>
    <w:rsid w:val="00064BC7"/>
    <w:rsid w:val="00067168"/>
    <w:rsid w:val="000735F2"/>
    <w:rsid w:val="00077857"/>
    <w:rsid w:val="00080072"/>
    <w:rsid w:val="0008256C"/>
    <w:rsid w:val="000835CD"/>
    <w:rsid w:val="000847CB"/>
    <w:rsid w:val="000851DA"/>
    <w:rsid w:val="00090DCD"/>
    <w:rsid w:val="00091002"/>
    <w:rsid w:val="000935C6"/>
    <w:rsid w:val="00095FA9"/>
    <w:rsid w:val="00097283"/>
    <w:rsid w:val="00097ECA"/>
    <w:rsid w:val="000A0D2D"/>
    <w:rsid w:val="000A2DBD"/>
    <w:rsid w:val="000A38D6"/>
    <w:rsid w:val="000A3BD3"/>
    <w:rsid w:val="000A469B"/>
    <w:rsid w:val="000A53CE"/>
    <w:rsid w:val="000A5590"/>
    <w:rsid w:val="000A5649"/>
    <w:rsid w:val="000A6AFE"/>
    <w:rsid w:val="000A7078"/>
    <w:rsid w:val="000B3E37"/>
    <w:rsid w:val="000B47DF"/>
    <w:rsid w:val="000B6E6D"/>
    <w:rsid w:val="000B7FCD"/>
    <w:rsid w:val="000C0A24"/>
    <w:rsid w:val="000C42B2"/>
    <w:rsid w:val="000D2F34"/>
    <w:rsid w:val="000D3DF6"/>
    <w:rsid w:val="000D43A3"/>
    <w:rsid w:val="000D4A0E"/>
    <w:rsid w:val="000F099F"/>
    <w:rsid w:val="000F0FE9"/>
    <w:rsid w:val="000F60D2"/>
    <w:rsid w:val="000F78FD"/>
    <w:rsid w:val="00103AB1"/>
    <w:rsid w:val="0010477D"/>
    <w:rsid w:val="00104FEF"/>
    <w:rsid w:val="00105A65"/>
    <w:rsid w:val="0010601F"/>
    <w:rsid w:val="00107D51"/>
    <w:rsid w:val="001141B4"/>
    <w:rsid w:val="001147EA"/>
    <w:rsid w:val="00114E0E"/>
    <w:rsid w:val="00116465"/>
    <w:rsid w:val="00117A1D"/>
    <w:rsid w:val="00121773"/>
    <w:rsid w:val="0012260F"/>
    <w:rsid w:val="001234B2"/>
    <w:rsid w:val="00124B22"/>
    <w:rsid w:val="00124C60"/>
    <w:rsid w:val="00124CE8"/>
    <w:rsid w:val="00125C38"/>
    <w:rsid w:val="00130411"/>
    <w:rsid w:val="00130677"/>
    <w:rsid w:val="00130964"/>
    <w:rsid w:val="001311DF"/>
    <w:rsid w:val="00133034"/>
    <w:rsid w:val="00133063"/>
    <w:rsid w:val="00133AE7"/>
    <w:rsid w:val="00133AFC"/>
    <w:rsid w:val="0013552D"/>
    <w:rsid w:val="00136568"/>
    <w:rsid w:val="001372B8"/>
    <w:rsid w:val="00140A65"/>
    <w:rsid w:val="001410FB"/>
    <w:rsid w:val="00144ADD"/>
    <w:rsid w:val="00145A0A"/>
    <w:rsid w:val="001507AF"/>
    <w:rsid w:val="001517BA"/>
    <w:rsid w:val="0015245A"/>
    <w:rsid w:val="00154A40"/>
    <w:rsid w:val="00156427"/>
    <w:rsid w:val="001608E2"/>
    <w:rsid w:val="001610BF"/>
    <w:rsid w:val="0016239A"/>
    <w:rsid w:val="00164D33"/>
    <w:rsid w:val="00167D9C"/>
    <w:rsid w:val="0017089E"/>
    <w:rsid w:val="00170CCE"/>
    <w:rsid w:val="00170D51"/>
    <w:rsid w:val="001715E3"/>
    <w:rsid w:val="00174862"/>
    <w:rsid w:val="00174B82"/>
    <w:rsid w:val="00180B63"/>
    <w:rsid w:val="001838F2"/>
    <w:rsid w:val="00185A3B"/>
    <w:rsid w:val="00190218"/>
    <w:rsid w:val="001908BB"/>
    <w:rsid w:val="0019126E"/>
    <w:rsid w:val="00191A08"/>
    <w:rsid w:val="001921F6"/>
    <w:rsid w:val="00193021"/>
    <w:rsid w:val="001A2B8F"/>
    <w:rsid w:val="001A6129"/>
    <w:rsid w:val="001A66E3"/>
    <w:rsid w:val="001B4101"/>
    <w:rsid w:val="001C00A9"/>
    <w:rsid w:val="001C2136"/>
    <w:rsid w:val="001C2AF2"/>
    <w:rsid w:val="001C519A"/>
    <w:rsid w:val="001C6229"/>
    <w:rsid w:val="001C6A7C"/>
    <w:rsid w:val="001C6C55"/>
    <w:rsid w:val="001C7D98"/>
    <w:rsid w:val="001D2F28"/>
    <w:rsid w:val="001D4675"/>
    <w:rsid w:val="001E0C0B"/>
    <w:rsid w:val="001E0D57"/>
    <w:rsid w:val="001E17BB"/>
    <w:rsid w:val="001E293F"/>
    <w:rsid w:val="001E5D22"/>
    <w:rsid w:val="001E791F"/>
    <w:rsid w:val="001E7EBD"/>
    <w:rsid w:val="001F0381"/>
    <w:rsid w:val="001F0BE0"/>
    <w:rsid w:val="001F2D0A"/>
    <w:rsid w:val="001F39FC"/>
    <w:rsid w:val="001F4C21"/>
    <w:rsid w:val="00200D72"/>
    <w:rsid w:val="002040E5"/>
    <w:rsid w:val="00207123"/>
    <w:rsid w:val="002105B9"/>
    <w:rsid w:val="00211F0E"/>
    <w:rsid w:val="00214A84"/>
    <w:rsid w:val="00214E4B"/>
    <w:rsid w:val="00216BB3"/>
    <w:rsid w:val="00217803"/>
    <w:rsid w:val="00220598"/>
    <w:rsid w:val="00220844"/>
    <w:rsid w:val="00220F08"/>
    <w:rsid w:val="00221A8F"/>
    <w:rsid w:val="002229CB"/>
    <w:rsid w:val="002251C7"/>
    <w:rsid w:val="00226B58"/>
    <w:rsid w:val="00227749"/>
    <w:rsid w:val="0023102D"/>
    <w:rsid w:val="002320B6"/>
    <w:rsid w:val="00233891"/>
    <w:rsid w:val="002355B9"/>
    <w:rsid w:val="00236789"/>
    <w:rsid w:val="00240F83"/>
    <w:rsid w:val="002436DF"/>
    <w:rsid w:val="00252AB9"/>
    <w:rsid w:val="00252D4D"/>
    <w:rsid w:val="00253912"/>
    <w:rsid w:val="00253F38"/>
    <w:rsid w:val="002551E8"/>
    <w:rsid w:val="00261AEC"/>
    <w:rsid w:val="002630E8"/>
    <w:rsid w:val="00267E86"/>
    <w:rsid w:val="00270545"/>
    <w:rsid w:val="00271C9B"/>
    <w:rsid w:val="00272F30"/>
    <w:rsid w:val="002820B8"/>
    <w:rsid w:val="0028654B"/>
    <w:rsid w:val="00286BA6"/>
    <w:rsid w:val="00287545"/>
    <w:rsid w:val="00292091"/>
    <w:rsid w:val="00294BBE"/>
    <w:rsid w:val="002967FA"/>
    <w:rsid w:val="002A1E67"/>
    <w:rsid w:val="002B2018"/>
    <w:rsid w:val="002B3A1C"/>
    <w:rsid w:val="002B3AAC"/>
    <w:rsid w:val="002B4B80"/>
    <w:rsid w:val="002B5E89"/>
    <w:rsid w:val="002B69CC"/>
    <w:rsid w:val="002C19EE"/>
    <w:rsid w:val="002C394D"/>
    <w:rsid w:val="002C4154"/>
    <w:rsid w:val="002C5E21"/>
    <w:rsid w:val="002C76B6"/>
    <w:rsid w:val="002D071B"/>
    <w:rsid w:val="002D1DCB"/>
    <w:rsid w:val="002D2380"/>
    <w:rsid w:val="002D4DD3"/>
    <w:rsid w:val="002D63E4"/>
    <w:rsid w:val="002D7DD4"/>
    <w:rsid w:val="002E2792"/>
    <w:rsid w:val="002E385F"/>
    <w:rsid w:val="002E3EA0"/>
    <w:rsid w:val="002F6C1C"/>
    <w:rsid w:val="002F6D1B"/>
    <w:rsid w:val="002F7178"/>
    <w:rsid w:val="003049B7"/>
    <w:rsid w:val="003112DC"/>
    <w:rsid w:val="003117F2"/>
    <w:rsid w:val="00311BDC"/>
    <w:rsid w:val="003130AC"/>
    <w:rsid w:val="00314F3F"/>
    <w:rsid w:val="0031571F"/>
    <w:rsid w:val="00317C1A"/>
    <w:rsid w:val="00320F6F"/>
    <w:rsid w:val="00322715"/>
    <w:rsid w:val="00322766"/>
    <w:rsid w:val="0032304D"/>
    <w:rsid w:val="003237AA"/>
    <w:rsid w:val="0032556F"/>
    <w:rsid w:val="00327E07"/>
    <w:rsid w:val="00327FC2"/>
    <w:rsid w:val="00330E79"/>
    <w:rsid w:val="003326DE"/>
    <w:rsid w:val="00333AB1"/>
    <w:rsid w:val="00335110"/>
    <w:rsid w:val="00341C66"/>
    <w:rsid w:val="00344B41"/>
    <w:rsid w:val="00344FDC"/>
    <w:rsid w:val="00347DFE"/>
    <w:rsid w:val="00353308"/>
    <w:rsid w:val="0035673A"/>
    <w:rsid w:val="003567B3"/>
    <w:rsid w:val="00356BA4"/>
    <w:rsid w:val="00360511"/>
    <w:rsid w:val="00360E33"/>
    <w:rsid w:val="00361C8A"/>
    <w:rsid w:val="00361DD2"/>
    <w:rsid w:val="00361F25"/>
    <w:rsid w:val="00361F37"/>
    <w:rsid w:val="00365DFF"/>
    <w:rsid w:val="00365FE4"/>
    <w:rsid w:val="00366B3F"/>
    <w:rsid w:val="0036783D"/>
    <w:rsid w:val="00370B80"/>
    <w:rsid w:val="00371699"/>
    <w:rsid w:val="00371EEA"/>
    <w:rsid w:val="003723C8"/>
    <w:rsid w:val="0037350A"/>
    <w:rsid w:val="003754F3"/>
    <w:rsid w:val="0038173A"/>
    <w:rsid w:val="00381964"/>
    <w:rsid w:val="0038196F"/>
    <w:rsid w:val="00382157"/>
    <w:rsid w:val="003836F6"/>
    <w:rsid w:val="003847E7"/>
    <w:rsid w:val="00385075"/>
    <w:rsid w:val="00385151"/>
    <w:rsid w:val="00386987"/>
    <w:rsid w:val="00387C34"/>
    <w:rsid w:val="003904B7"/>
    <w:rsid w:val="00392A24"/>
    <w:rsid w:val="00392EDA"/>
    <w:rsid w:val="0039420A"/>
    <w:rsid w:val="0039441B"/>
    <w:rsid w:val="00395260"/>
    <w:rsid w:val="00395EA7"/>
    <w:rsid w:val="003971F3"/>
    <w:rsid w:val="00397C3C"/>
    <w:rsid w:val="003A2522"/>
    <w:rsid w:val="003A2C70"/>
    <w:rsid w:val="003A3D88"/>
    <w:rsid w:val="003A749D"/>
    <w:rsid w:val="003A78D6"/>
    <w:rsid w:val="003B02C7"/>
    <w:rsid w:val="003B4588"/>
    <w:rsid w:val="003B535D"/>
    <w:rsid w:val="003B6F9C"/>
    <w:rsid w:val="003C109D"/>
    <w:rsid w:val="003C29CF"/>
    <w:rsid w:val="003D1E0B"/>
    <w:rsid w:val="003D3259"/>
    <w:rsid w:val="003D455C"/>
    <w:rsid w:val="003D4E57"/>
    <w:rsid w:val="003D5254"/>
    <w:rsid w:val="003E0A22"/>
    <w:rsid w:val="003E3996"/>
    <w:rsid w:val="003E51C9"/>
    <w:rsid w:val="003F147D"/>
    <w:rsid w:val="003F3DAB"/>
    <w:rsid w:val="003F5BD9"/>
    <w:rsid w:val="00400F45"/>
    <w:rsid w:val="004020F5"/>
    <w:rsid w:val="00402AFC"/>
    <w:rsid w:val="00407446"/>
    <w:rsid w:val="004101FB"/>
    <w:rsid w:val="00412585"/>
    <w:rsid w:val="00416211"/>
    <w:rsid w:val="00422C24"/>
    <w:rsid w:val="0042367B"/>
    <w:rsid w:val="004246B5"/>
    <w:rsid w:val="00430364"/>
    <w:rsid w:val="00435650"/>
    <w:rsid w:val="004358FE"/>
    <w:rsid w:val="00443E30"/>
    <w:rsid w:val="004465DF"/>
    <w:rsid w:val="004467BC"/>
    <w:rsid w:val="004467BF"/>
    <w:rsid w:val="004467C0"/>
    <w:rsid w:val="00447166"/>
    <w:rsid w:val="004477B9"/>
    <w:rsid w:val="004504E0"/>
    <w:rsid w:val="00450657"/>
    <w:rsid w:val="004521F6"/>
    <w:rsid w:val="00452A63"/>
    <w:rsid w:val="00453007"/>
    <w:rsid w:val="0045457D"/>
    <w:rsid w:val="0045458A"/>
    <w:rsid w:val="00454AEC"/>
    <w:rsid w:val="004553BC"/>
    <w:rsid w:val="00455F2A"/>
    <w:rsid w:val="00463EAF"/>
    <w:rsid w:val="004641EC"/>
    <w:rsid w:val="0046530B"/>
    <w:rsid w:val="0046544B"/>
    <w:rsid w:val="004662C0"/>
    <w:rsid w:val="0047179A"/>
    <w:rsid w:val="00472F9B"/>
    <w:rsid w:val="00473B48"/>
    <w:rsid w:val="004752A6"/>
    <w:rsid w:val="00475605"/>
    <w:rsid w:val="00476610"/>
    <w:rsid w:val="00476926"/>
    <w:rsid w:val="00477CD4"/>
    <w:rsid w:val="00480E38"/>
    <w:rsid w:val="00482D2A"/>
    <w:rsid w:val="004839DC"/>
    <w:rsid w:val="00484FE2"/>
    <w:rsid w:val="0048512C"/>
    <w:rsid w:val="00486746"/>
    <w:rsid w:val="00486D3C"/>
    <w:rsid w:val="00490CDC"/>
    <w:rsid w:val="00492D32"/>
    <w:rsid w:val="00494909"/>
    <w:rsid w:val="0049682B"/>
    <w:rsid w:val="004A1937"/>
    <w:rsid w:val="004A1A2D"/>
    <w:rsid w:val="004A28F5"/>
    <w:rsid w:val="004A4793"/>
    <w:rsid w:val="004A56FE"/>
    <w:rsid w:val="004B2A60"/>
    <w:rsid w:val="004B4529"/>
    <w:rsid w:val="004B5427"/>
    <w:rsid w:val="004B5B85"/>
    <w:rsid w:val="004C3533"/>
    <w:rsid w:val="004C4D11"/>
    <w:rsid w:val="004C7ED5"/>
    <w:rsid w:val="004D5F9E"/>
    <w:rsid w:val="004D78FA"/>
    <w:rsid w:val="004E6AC9"/>
    <w:rsid w:val="004E72FF"/>
    <w:rsid w:val="004F16E3"/>
    <w:rsid w:val="004F175F"/>
    <w:rsid w:val="004F2A33"/>
    <w:rsid w:val="00500C38"/>
    <w:rsid w:val="00503A0B"/>
    <w:rsid w:val="00503C4C"/>
    <w:rsid w:val="005045FE"/>
    <w:rsid w:val="005046C3"/>
    <w:rsid w:val="00505F0D"/>
    <w:rsid w:val="00510F1A"/>
    <w:rsid w:val="005114D8"/>
    <w:rsid w:val="0051199B"/>
    <w:rsid w:val="00515BEA"/>
    <w:rsid w:val="00516477"/>
    <w:rsid w:val="00516847"/>
    <w:rsid w:val="00522DFE"/>
    <w:rsid w:val="00524BEF"/>
    <w:rsid w:val="005260DF"/>
    <w:rsid w:val="005278EF"/>
    <w:rsid w:val="005321F5"/>
    <w:rsid w:val="00536569"/>
    <w:rsid w:val="005367ED"/>
    <w:rsid w:val="00540669"/>
    <w:rsid w:val="00541B67"/>
    <w:rsid w:val="00545656"/>
    <w:rsid w:val="00545F43"/>
    <w:rsid w:val="00547652"/>
    <w:rsid w:val="00550E5E"/>
    <w:rsid w:val="00551B78"/>
    <w:rsid w:val="005522A4"/>
    <w:rsid w:val="005532C9"/>
    <w:rsid w:val="00555121"/>
    <w:rsid w:val="005567F9"/>
    <w:rsid w:val="00556D34"/>
    <w:rsid w:val="0055791A"/>
    <w:rsid w:val="005604DC"/>
    <w:rsid w:val="00560905"/>
    <w:rsid w:val="005627E8"/>
    <w:rsid w:val="00563459"/>
    <w:rsid w:val="00565000"/>
    <w:rsid w:val="005669E2"/>
    <w:rsid w:val="00572009"/>
    <w:rsid w:val="00584B20"/>
    <w:rsid w:val="00586C43"/>
    <w:rsid w:val="00587110"/>
    <w:rsid w:val="00593C9E"/>
    <w:rsid w:val="00594C86"/>
    <w:rsid w:val="00594E16"/>
    <w:rsid w:val="005974A4"/>
    <w:rsid w:val="005A369D"/>
    <w:rsid w:val="005A3A3D"/>
    <w:rsid w:val="005A6787"/>
    <w:rsid w:val="005B0316"/>
    <w:rsid w:val="005B150E"/>
    <w:rsid w:val="005C4515"/>
    <w:rsid w:val="005C53EC"/>
    <w:rsid w:val="005C7E85"/>
    <w:rsid w:val="005D05F3"/>
    <w:rsid w:val="005D188C"/>
    <w:rsid w:val="005D1D02"/>
    <w:rsid w:val="005D240F"/>
    <w:rsid w:val="005D3E8E"/>
    <w:rsid w:val="005D4A31"/>
    <w:rsid w:val="005D5A47"/>
    <w:rsid w:val="005F1613"/>
    <w:rsid w:val="005F25BF"/>
    <w:rsid w:val="005F346B"/>
    <w:rsid w:val="005F34FA"/>
    <w:rsid w:val="005F4998"/>
    <w:rsid w:val="005F4DDD"/>
    <w:rsid w:val="005F71BD"/>
    <w:rsid w:val="00600548"/>
    <w:rsid w:val="00601742"/>
    <w:rsid w:val="006023F2"/>
    <w:rsid w:val="006038A9"/>
    <w:rsid w:val="006051E1"/>
    <w:rsid w:val="006055E9"/>
    <w:rsid w:val="00610B6F"/>
    <w:rsid w:val="00610C3D"/>
    <w:rsid w:val="00611C5C"/>
    <w:rsid w:val="00612584"/>
    <w:rsid w:val="00612B66"/>
    <w:rsid w:val="00613B6E"/>
    <w:rsid w:val="006148BE"/>
    <w:rsid w:val="0062243F"/>
    <w:rsid w:val="006249B5"/>
    <w:rsid w:val="00625227"/>
    <w:rsid w:val="006269A1"/>
    <w:rsid w:val="00627AA9"/>
    <w:rsid w:val="00630EE5"/>
    <w:rsid w:val="00631A0E"/>
    <w:rsid w:val="0063335E"/>
    <w:rsid w:val="0063363B"/>
    <w:rsid w:val="00634704"/>
    <w:rsid w:val="0064030D"/>
    <w:rsid w:val="006412A6"/>
    <w:rsid w:val="006435E5"/>
    <w:rsid w:val="00643F69"/>
    <w:rsid w:val="00644C06"/>
    <w:rsid w:val="00646770"/>
    <w:rsid w:val="00647C76"/>
    <w:rsid w:val="00651287"/>
    <w:rsid w:val="00653377"/>
    <w:rsid w:val="00656BB9"/>
    <w:rsid w:val="00657D7F"/>
    <w:rsid w:val="006600D5"/>
    <w:rsid w:val="00660B2D"/>
    <w:rsid w:val="00660DFC"/>
    <w:rsid w:val="00661893"/>
    <w:rsid w:val="006620A9"/>
    <w:rsid w:val="00662490"/>
    <w:rsid w:val="00663853"/>
    <w:rsid w:val="006662E7"/>
    <w:rsid w:val="00666A09"/>
    <w:rsid w:val="006673A4"/>
    <w:rsid w:val="0067030D"/>
    <w:rsid w:val="00672591"/>
    <w:rsid w:val="00672CFC"/>
    <w:rsid w:val="00673781"/>
    <w:rsid w:val="00673B60"/>
    <w:rsid w:val="00674741"/>
    <w:rsid w:val="00675D1C"/>
    <w:rsid w:val="00676A79"/>
    <w:rsid w:val="00680E8A"/>
    <w:rsid w:val="00681E87"/>
    <w:rsid w:val="0068257F"/>
    <w:rsid w:val="00682D42"/>
    <w:rsid w:val="00687945"/>
    <w:rsid w:val="00690D39"/>
    <w:rsid w:val="00691CFF"/>
    <w:rsid w:val="00692C8F"/>
    <w:rsid w:val="0069435D"/>
    <w:rsid w:val="00696DF4"/>
    <w:rsid w:val="006A05E2"/>
    <w:rsid w:val="006A2D66"/>
    <w:rsid w:val="006A4971"/>
    <w:rsid w:val="006A5381"/>
    <w:rsid w:val="006A729E"/>
    <w:rsid w:val="006B1D16"/>
    <w:rsid w:val="006B2663"/>
    <w:rsid w:val="006B330F"/>
    <w:rsid w:val="006B3DBF"/>
    <w:rsid w:val="006B58A9"/>
    <w:rsid w:val="006B6189"/>
    <w:rsid w:val="006C0552"/>
    <w:rsid w:val="006C2D7A"/>
    <w:rsid w:val="006C5A56"/>
    <w:rsid w:val="006C611A"/>
    <w:rsid w:val="006D09EE"/>
    <w:rsid w:val="006D1501"/>
    <w:rsid w:val="006D241D"/>
    <w:rsid w:val="006D3D5C"/>
    <w:rsid w:val="006D732D"/>
    <w:rsid w:val="006D7A95"/>
    <w:rsid w:val="006E07A5"/>
    <w:rsid w:val="006E1A92"/>
    <w:rsid w:val="006E2B01"/>
    <w:rsid w:val="006E786D"/>
    <w:rsid w:val="006E7B9D"/>
    <w:rsid w:val="006F128C"/>
    <w:rsid w:val="006F45B4"/>
    <w:rsid w:val="006F55EA"/>
    <w:rsid w:val="006F70E3"/>
    <w:rsid w:val="00703330"/>
    <w:rsid w:val="0070495A"/>
    <w:rsid w:val="00705A6D"/>
    <w:rsid w:val="007104A0"/>
    <w:rsid w:val="00711B60"/>
    <w:rsid w:val="00711C1A"/>
    <w:rsid w:val="00713122"/>
    <w:rsid w:val="00713547"/>
    <w:rsid w:val="007162C2"/>
    <w:rsid w:val="00716664"/>
    <w:rsid w:val="007205CE"/>
    <w:rsid w:val="00721CC2"/>
    <w:rsid w:val="00722D93"/>
    <w:rsid w:val="00732B81"/>
    <w:rsid w:val="007347F3"/>
    <w:rsid w:val="00741E19"/>
    <w:rsid w:val="00745313"/>
    <w:rsid w:val="00750AD4"/>
    <w:rsid w:val="0075391D"/>
    <w:rsid w:val="0075573A"/>
    <w:rsid w:val="00757111"/>
    <w:rsid w:val="0075745F"/>
    <w:rsid w:val="00761361"/>
    <w:rsid w:val="00761F42"/>
    <w:rsid w:val="00763899"/>
    <w:rsid w:val="0076426D"/>
    <w:rsid w:val="007652F1"/>
    <w:rsid w:val="00765CDA"/>
    <w:rsid w:val="00767E42"/>
    <w:rsid w:val="007721C9"/>
    <w:rsid w:val="0077287E"/>
    <w:rsid w:val="00773A53"/>
    <w:rsid w:val="00773B4A"/>
    <w:rsid w:val="007767D9"/>
    <w:rsid w:val="0078000A"/>
    <w:rsid w:val="0078369C"/>
    <w:rsid w:val="00786114"/>
    <w:rsid w:val="0078639B"/>
    <w:rsid w:val="007864B5"/>
    <w:rsid w:val="00786E80"/>
    <w:rsid w:val="007909CA"/>
    <w:rsid w:val="007969CB"/>
    <w:rsid w:val="007A353D"/>
    <w:rsid w:val="007A3578"/>
    <w:rsid w:val="007A6014"/>
    <w:rsid w:val="007A7E8B"/>
    <w:rsid w:val="007B0015"/>
    <w:rsid w:val="007B343D"/>
    <w:rsid w:val="007B47BE"/>
    <w:rsid w:val="007B4C89"/>
    <w:rsid w:val="007C07F2"/>
    <w:rsid w:val="007C238E"/>
    <w:rsid w:val="007C68B4"/>
    <w:rsid w:val="007D1EB4"/>
    <w:rsid w:val="007D2ED0"/>
    <w:rsid w:val="007D3750"/>
    <w:rsid w:val="007D37C6"/>
    <w:rsid w:val="007D4DA1"/>
    <w:rsid w:val="007D7121"/>
    <w:rsid w:val="007E243D"/>
    <w:rsid w:val="007E25C0"/>
    <w:rsid w:val="007E28C9"/>
    <w:rsid w:val="007E37AC"/>
    <w:rsid w:val="007E3C98"/>
    <w:rsid w:val="007E3CB7"/>
    <w:rsid w:val="007E7F2B"/>
    <w:rsid w:val="007F1488"/>
    <w:rsid w:val="007F23BD"/>
    <w:rsid w:val="007F3513"/>
    <w:rsid w:val="007F5141"/>
    <w:rsid w:val="007F7B91"/>
    <w:rsid w:val="007F7C14"/>
    <w:rsid w:val="00801F09"/>
    <w:rsid w:val="00803348"/>
    <w:rsid w:val="00804251"/>
    <w:rsid w:val="00805EA5"/>
    <w:rsid w:val="0081005F"/>
    <w:rsid w:val="00814DF6"/>
    <w:rsid w:val="00817169"/>
    <w:rsid w:val="00817EB7"/>
    <w:rsid w:val="008225F3"/>
    <w:rsid w:val="0082330C"/>
    <w:rsid w:val="008239BF"/>
    <w:rsid w:val="00826260"/>
    <w:rsid w:val="00826A6B"/>
    <w:rsid w:val="00830AB5"/>
    <w:rsid w:val="00830F40"/>
    <w:rsid w:val="00831369"/>
    <w:rsid w:val="00833F12"/>
    <w:rsid w:val="008342A6"/>
    <w:rsid w:val="008352D2"/>
    <w:rsid w:val="00845DD8"/>
    <w:rsid w:val="00846F78"/>
    <w:rsid w:val="008473FE"/>
    <w:rsid w:val="008477AE"/>
    <w:rsid w:val="00850394"/>
    <w:rsid w:val="00851C4A"/>
    <w:rsid w:val="00856375"/>
    <w:rsid w:val="00862502"/>
    <w:rsid w:val="00866DC9"/>
    <w:rsid w:val="008735AF"/>
    <w:rsid w:val="008738A6"/>
    <w:rsid w:val="008757E9"/>
    <w:rsid w:val="00876C87"/>
    <w:rsid w:val="00880F07"/>
    <w:rsid w:val="00881D17"/>
    <w:rsid w:val="00883956"/>
    <w:rsid w:val="00884404"/>
    <w:rsid w:val="00887C6D"/>
    <w:rsid w:val="008901D7"/>
    <w:rsid w:val="00890B2A"/>
    <w:rsid w:val="00893028"/>
    <w:rsid w:val="00893430"/>
    <w:rsid w:val="008946E8"/>
    <w:rsid w:val="008A0678"/>
    <w:rsid w:val="008A4B6D"/>
    <w:rsid w:val="008B0F4F"/>
    <w:rsid w:val="008B290A"/>
    <w:rsid w:val="008B3A76"/>
    <w:rsid w:val="008B5E2A"/>
    <w:rsid w:val="008B66B0"/>
    <w:rsid w:val="008B77A2"/>
    <w:rsid w:val="008C0B59"/>
    <w:rsid w:val="008C1CFD"/>
    <w:rsid w:val="008C2E64"/>
    <w:rsid w:val="008C612C"/>
    <w:rsid w:val="008C6201"/>
    <w:rsid w:val="008C7996"/>
    <w:rsid w:val="008C7ACD"/>
    <w:rsid w:val="008D1232"/>
    <w:rsid w:val="008D15F1"/>
    <w:rsid w:val="008D240F"/>
    <w:rsid w:val="008D2F89"/>
    <w:rsid w:val="008D501C"/>
    <w:rsid w:val="008D52AE"/>
    <w:rsid w:val="008D67B4"/>
    <w:rsid w:val="008E1F56"/>
    <w:rsid w:val="008E4727"/>
    <w:rsid w:val="008E784B"/>
    <w:rsid w:val="008F1223"/>
    <w:rsid w:val="008F33A3"/>
    <w:rsid w:val="00901394"/>
    <w:rsid w:val="00901E91"/>
    <w:rsid w:val="00901F7C"/>
    <w:rsid w:val="00902E43"/>
    <w:rsid w:val="009031FB"/>
    <w:rsid w:val="009045B1"/>
    <w:rsid w:val="0091125F"/>
    <w:rsid w:val="00911DAB"/>
    <w:rsid w:val="00914EC8"/>
    <w:rsid w:val="00921F35"/>
    <w:rsid w:val="00923C49"/>
    <w:rsid w:val="00924BD0"/>
    <w:rsid w:val="009308B8"/>
    <w:rsid w:val="00931512"/>
    <w:rsid w:val="00934E6B"/>
    <w:rsid w:val="00935521"/>
    <w:rsid w:val="00937536"/>
    <w:rsid w:val="0094060A"/>
    <w:rsid w:val="00942603"/>
    <w:rsid w:val="0094664A"/>
    <w:rsid w:val="00954C7C"/>
    <w:rsid w:val="00956985"/>
    <w:rsid w:val="00957153"/>
    <w:rsid w:val="009626AA"/>
    <w:rsid w:val="00965DB0"/>
    <w:rsid w:val="0097289C"/>
    <w:rsid w:val="00972AFE"/>
    <w:rsid w:val="00973449"/>
    <w:rsid w:val="00974B6B"/>
    <w:rsid w:val="00975C66"/>
    <w:rsid w:val="00980E4B"/>
    <w:rsid w:val="0098355A"/>
    <w:rsid w:val="00983B71"/>
    <w:rsid w:val="00984128"/>
    <w:rsid w:val="009953F6"/>
    <w:rsid w:val="00996E7E"/>
    <w:rsid w:val="00997643"/>
    <w:rsid w:val="009A07D5"/>
    <w:rsid w:val="009A2865"/>
    <w:rsid w:val="009A4C7C"/>
    <w:rsid w:val="009A5B34"/>
    <w:rsid w:val="009A702C"/>
    <w:rsid w:val="009B241A"/>
    <w:rsid w:val="009B26D1"/>
    <w:rsid w:val="009B47F7"/>
    <w:rsid w:val="009B4D65"/>
    <w:rsid w:val="009B5269"/>
    <w:rsid w:val="009B5838"/>
    <w:rsid w:val="009B6024"/>
    <w:rsid w:val="009C13A9"/>
    <w:rsid w:val="009C1A84"/>
    <w:rsid w:val="009C1BCA"/>
    <w:rsid w:val="009C43B1"/>
    <w:rsid w:val="009C5E72"/>
    <w:rsid w:val="009C6233"/>
    <w:rsid w:val="009D2AFA"/>
    <w:rsid w:val="009E0AFB"/>
    <w:rsid w:val="009E0BE9"/>
    <w:rsid w:val="009E12DB"/>
    <w:rsid w:val="009E34E0"/>
    <w:rsid w:val="009E74FF"/>
    <w:rsid w:val="009F0097"/>
    <w:rsid w:val="009F07BF"/>
    <w:rsid w:val="009F0E3F"/>
    <w:rsid w:val="009F0FD4"/>
    <w:rsid w:val="009F2835"/>
    <w:rsid w:val="009F35FB"/>
    <w:rsid w:val="009F535B"/>
    <w:rsid w:val="009F6474"/>
    <w:rsid w:val="009F67F1"/>
    <w:rsid w:val="00A001C0"/>
    <w:rsid w:val="00A00407"/>
    <w:rsid w:val="00A00F94"/>
    <w:rsid w:val="00A01813"/>
    <w:rsid w:val="00A01FE8"/>
    <w:rsid w:val="00A030FC"/>
    <w:rsid w:val="00A050F3"/>
    <w:rsid w:val="00A069BA"/>
    <w:rsid w:val="00A06B58"/>
    <w:rsid w:val="00A07A48"/>
    <w:rsid w:val="00A07B23"/>
    <w:rsid w:val="00A1286B"/>
    <w:rsid w:val="00A13467"/>
    <w:rsid w:val="00A16927"/>
    <w:rsid w:val="00A25C3D"/>
    <w:rsid w:val="00A310EF"/>
    <w:rsid w:val="00A36599"/>
    <w:rsid w:val="00A373B1"/>
    <w:rsid w:val="00A40372"/>
    <w:rsid w:val="00A40A37"/>
    <w:rsid w:val="00A41EBD"/>
    <w:rsid w:val="00A5223B"/>
    <w:rsid w:val="00A61570"/>
    <w:rsid w:val="00A623F3"/>
    <w:rsid w:val="00A626F7"/>
    <w:rsid w:val="00A67703"/>
    <w:rsid w:val="00A67F5E"/>
    <w:rsid w:val="00A70E19"/>
    <w:rsid w:val="00A71599"/>
    <w:rsid w:val="00A73ADE"/>
    <w:rsid w:val="00A74B84"/>
    <w:rsid w:val="00A813A2"/>
    <w:rsid w:val="00A81ABE"/>
    <w:rsid w:val="00A83341"/>
    <w:rsid w:val="00A9031E"/>
    <w:rsid w:val="00A9414F"/>
    <w:rsid w:val="00A9589E"/>
    <w:rsid w:val="00A96317"/>
    <w:rsid w:val="00A968FD"/>
    <w:rsid w:val="00AA098A"/>
    <w:rsid w:val="00AA13F4"/>
    <w:rsid w:val="00AA27EA"/>
    <w:rsid w:val="00AA7448"/>
    <w:rsid w:val="00AB0C99"/>
    <w:rsid w:val="00AB11F9"/>
    <w:rsid w:val="00AB1F75"/>
    <w:rsid w:val="00AB4912"/>
    <w:rsid w:val="00AC5FAA"/>
    <w:rsid w:val="00AD2965"/>
    <w:rsid w:val="00AD598F"/>
    <w:rsid w:val="00AD7C88"/>
    <w:rsid w:val="00AE4CE2"/>
    <w:rsid w:val="00AE5C58"/>
    <w:rsid w:val="00AE695F"/>
    <w:rsid w:val="00AE69BA"/>
    <w:rsid w:val="00AE7F01"/>
    <w:rsid w:val="00AF022A"/>
    <w:rsid w:val="00AF25E9"/>
    <w:rsid w:val="00AF25F9"/>
    <w:rsid w:val="00AF2C8B"/>
    <w:rsid w:val="00B00371"/>
    <w:rsid w:val="00B00CE6"/>
    <w:rsid w:val="00B01D25"/>
    <w:rsid w:val="00B04960"/>
    <w:rsid w:val="00B04A17"/>
    <w:rsid w:val="00B10985"/>
    <w:rsid w:val="00B10B35"/>
    <w:rsid w:val="00B11AFD"/>
    <w:rsid w:val="00B13EC8"/>
    <w:rsid w:val="00B216F3"/>
    <w:rsid w:val="00B22062"/>
    <w:rsid w:val="00B244A2"/>
    <w:rsid w:val="00B24BBA"/>
    <w:rsid w:val="00B30023"/>
    <w:rsid w:val="00B338CB"/>
    <w:rsid w:val="00B3441C"/>
    <w:rsid w:val="00B34D94"/>
    <w:rsid w:val="00B34E0A"/>
    <w:rsid w:val="00B37242"/>
    <w:rsid w:val="00B4158D"/>
    <w:rsid w:val="00B44A3C"/>
    <w:rsid w:val="00B47B7E"/>
    <w:rsid w:val="00B51E8E"/>
    <w:rsid w:val="00B52582"/>
    <w:rsid w:val="00B62A43"/>
    <w:rsid w:val="00B64873"/>
    <w:rsid w:val="00B6615A"/>
    <w:rsid w:val="00B66898"/>
    <w:rsid w:val="00B66EA3"/>
    <w:rsid w:val="00B722B8"/>
    <w:rsid w:val="00B73284"/>
    <w:rsid w:val="00B753BE"/>
    <w:rsid w:val="00B76344"/>
    <w:rsid w:val="00B76F0A"/>
    <w:rsid w:val="00B770C7"/>
    <w:rsid w:val="00B77211"/>
    <w:rsid w:val="00B80FBB"/>
    <w:rsid w:val="00B817C5"/>
    <w:rsid w:val="00B839C1"/>
    <w:rsid w:val="00B83DE7"/>
    <w:rsid w:val="00B8456D"/>
    <w:rsid w:val="00B852F8"/>
    <w:rsid w:val="00B93BFE"/>
    <w:rsid w:val="00B94F5D"/>
    <w:rsid w:val="00B97413"/>
    <w:rsid w:val="00BA287A"/>
    <w:rsid w:val="00BA5313"/>
    <w:rsid w:val="00BB2F5D"/>
    <w:rsid w:val="00BB4578"/>
    <w:rsid w:val="00BB7B0A"/>
    <w:rsid w:val="00BC0FAE"/>
    <w:rsid w:val="00BC1975"/>
    <w:rsid w:val="00BC1D73"/>
    <w:rsid w:val="00BD0566"/>
    <w:rsid w:val="00BD3C12"/>
    <w:rsid w:val="00BD6AAD"/>
    <w:rsid w:val="00BE18F2"/>
    <w:rsid w:val="00BE5CFA"/>
    <w:rsid w:val="00BF047F"/>
    <w:rsid w:val="00BF40A6"/>
    <w:rsid w:val="00BF43F1"/>
    <w:rsid w:val="00BF48E2"/>
    <w:rsid w:val="00BF666B"/>
    <w:rsid w:val="00C04F4F"/>
    <w:rsid w:val="00C05CA1"/>
    <w:rsid w:val="00C066CD"/>
    <w:rsid w:val="00C17BDB"/>
    <w:rsid w:val="00C20D19"/>
    <w:rsid w:val="00C230EC"/>
    <w:rsid w:val="00C23580"/>
    <w:rsid w:val="00C25871"/>
    <w:rsid w:val="00C262EA"/>
    <w:rsid w:val="00C26C46"/>
    <w:rsid w:val="00C2774E"/>
    <w:rsid w:val="00C31156"/>
    <w:rsid w:val="00C3545C"/>
    <w:rsid w:val="00C359ED"/>
    <w:rsid w:val="00C36E39"/>
    <w:rsid w:val="00C37510"/>
    <w:rsid w:val="00C46DFC"/>
    <w:rsid w:val="00C471E1"/>
    <w:rsid w:val="00C53F43"/>
    <w:rsid w:val="00C61279"/>
    <w:rsid w:val="00C614C4"/>
    <w:rsid w:val="00C619D6"/>
    <w:rsid w:val="00C63468"/>
    <w:rsid w:val="00C64E96"/>
    <w:rsid w:val="00C65240"/>
    <w:rsid w:val="00C65F8E"/>
    <w:rsid w:val="00C666AC"/>
    <w:rsid w:val="00C74B7D"/>
    <w:rsid w:val="00C774B4"/>
    <w:rsid w:val="00C77CB4"/>
    <w:rsid w:val="00C80B2B"/>
    <w:rsid w:val="00C819DF"/>
    <w:rsid w:val="00C84193"/>
    <w:rsid w:val="00C872FD"/>
    <w:rsid w:val="00C93752"/>
    <w:rsid w:val="00C96BAC"/>
    <w:rsid w:val="00CA13A3"/>
    <w:rsid w:val="00CA16A7"/>
    <w:rsid w:val="00CA1EB6"/>
    <w:rsid w:val="00CA2073"/>
    <w:rsid w:val="00CA2A04"/>
    <w:rsid w:val="00CA2F1D"/>
    <w:rsid w:val="00CA37F5"/>
    <w:rsid w:val="00CA3AFC"/>
    <w:rsid w:val="00CA4290"/>
    <w:rsid w:val="00CA6E55"/>
    <w:rsid w:val="00CB49BD"/>
    <w:rsid w:val="00CB60C6"/>
    <w:rsid w:val="00CB734E"/>
    <w:rsid w:val="00CB7578"/>
    <w:rsid w:val="00CC1801"/>
    <w:rsid w:val="00CC2191"/>
    <w:rsid w:val="00CC3FE5"/>
    <w:rsid w:val="00CC708F"/>
    <w:rsid w:val="00CD0DFF"/>
    <w:rsid w:val="00CD36EF"/>
    <w:rsid w:val="00CD4C2F"/>
    <w:rsid w:val="00CD770A"/>
    <w:rsid w:val="00CE00E0"/>
    <w:rsid w:val="00CE12B7"/>
    <w:rsid w:val="00CE16B0"/>
    <w:rsid w:val="00CE23D1"/>
    <w:rsid w:val="00CE3174"/>
    <w:rsid w:val="00CE41A3"/>
    <w:rsid w:val="00CF4AD1"/>
    <w:rsid w:val="00CF5742"/>
    <w:rsid w:val="00CF6B53"/>
    <w:rsid w:val="00D0090D"/>
    <w:rsid w:val="00D04388"/>
    <w:rsid w:val="00D048FB"/>
    <w:rsid w:val="00D0499A"/>
    <w:rsid w:val="00D05A46"/>
    <w:rsid w:val="00D06445"/>
    <w:rsid w:val="00D07EBB"/>
    <w:rsid w:val="00D10329"/>
    <w:rsid w:val="00D12DD7"/>
    <w:rsid w:val="00D14EAF"/>
    <w:rsid w:val="00D1519B"/>
    <w:rsid w:val="00D15D7F"/>
    <w:rsid w:val="00D17B1E"/>
    <w:rsid w:val="00D17E86"/>
    <w:rsid w:val="00D24532"/>
    <w:rsid w:val="00D25184"/>
    <w:rsid w:val="00D271CD"/>
    <w:rsid w:val="00D271FE"/>
    <w:rsid w:val="00D278CD"/>
    <w:rsid w:val="00D27F0D"/>
    <w:rsid w:val="00D31184"/>
    <w:rsid w:val="00D34F71"/>
    <w:rsid w:val="00D40511"/>
    <w:rsid w:val="00D40978"/>
    <w:rsid w:val="00D40D26"/>
    <w:rsid w:val="00D418D5"/>
    <w:rsid w:val="00D42CAE"/>
    <w:rsid w:val="00D43535"/>
    <w:rsid w:val="00D446AE"/>
    <w:rsid w:val="00D4478B"/>
    <w:rsid w:val="00D44DBE"/>
    <w:rsid w:val="00D50260"/>
    <w:rsid w:val="00D50A0D"/>
    <w:rsid w:val="00D53C09"/>
    <w:rsid w:val="00D54E4D"/>
    <w:rsid w:val="00D55CEF"/>
    <w:rsid w:val="00D60815"/>
    <w:rsid w:val="00D613E0"/>
    <w:rsid w:val="00D61460"/>
    <w:rsid w:val="00D614FD"/>
    <w:rsid w:val="00D62F75"/>
    <w:rsid w:val="00D62FF5"/>
    <w:rsid w:val="00D63DD0"/>
    <w:rsid w:val="00D6474F"/>
    <w:rsid w:val="00D6507A"/>
    <w:rsid w:val="00D65324"/>
    <w:rsid w:val="00D65905"/>
    <w:rsid w:val="00D6667C"/>
    <w:rsid w:val="00D702DE"/>
    <w:rsid w:val="00D709AB"/>
    <w:rsid w:val="00D7529F"/>
    <w:rsid w:val="00D80E14"/>
    <w:rsid w:val="00D84121"/>
    <w:rsid w:val="00D843C3"/>
    <w:rsid w:val="00D8594D"/>
    <w:rsid w:val="00D91263"/>
    <w:rsid w:val="00D912C0"/>
    <w:rsid w:val="00D939A6"/>
    <w:rsid w:val="00D97A7F"/>
    <w:rsid w:val="00DA0A79"/>
    <w:rsid w:val="00DA1615"/>
    <w:rsid w:val="00DA54BF"/>
    <w:rsid w:val="00DB1D5A"/>
    <w:rsid w:val="00DB6590"/>
    <w:rsid w:val="00DB6BC2"/>
    <w:rsid w:val="00DC0881"/>
    <w:rsid w:val="00DC1569"/>
    <w:rsid w:val="00DC39C2"/>
    <w:rsid w:val="00DC5E73"/>
    <w:rsid w:val="00DC6B0C"/>
    <w:rsid w:val="00DD533F"/>
    <w:rsid w:val="00DE307E"/>
    <w:rsid w:val="00DE4B28"/>
    <w:rsid w:val="00DF07E8"/>
    <w:rsid w:val="00DF0A6F"/>
    <w:rsid w:val="00DF0E12"/>
    <w:rsid w:val="00DF263A"/>
    <w:rsid w:val="00DF3C11"/>
    <w:rsid w:val="00DF43F9"/>
    <w:rsid w:val="00DF46DF"/>
    <w:rsid w:val="00DF7292"/>
    <w:rsid w:val="00E00F23"/>
    <w:rsid w:val="00E0427B"/>
    <w:rsid w:val="00E045E1"/>
    <w:rsid w:val="00E116AB"/>
    <w:rsid w:val="00E11A3E"/>
    <w:rsid w:val="00E13655"/>
    <w:rsid w:val="00E14294"/>
    <w:rsid w:val="00E158E1"/>
    <w:rsid w:val="00E22413"/>
    <w:rsid w:val="00E22D4D"/>
    <w:rsid w:val="00E23CD3"/>
    <w:rsid w:val="00E23EA0"/>
    <w:rsid w:val="00E313E8"/>
    <w:rsid w:val="00E314F4"/>
    <w:rsid w:val="00E3631D"/>
    <w:rsid w:val="00E40564"/>
    <w:rsid w:val="00E41B7B"/>
    <w:rsid w:val="00E422DD"/>
    <w:rsid w:val="00E43F6A"/>
    <w:rsid w:val="00E452F2"/>
    <w:rsid w:val="00E47CDB"/>
    <w:rsid w:val="00E5104A"/>
    <w:rsid w:val="00E52121"/>
    <w:rsid w:val="00E53B73"/>
    <w:rsid w:val="00E54D27"/>
    <w:rsid w:val="00E60595"/>
    <w:rsid w:val="00E6232C"/>
    <w:rsid w:val="00E632CB"/>
    <w:rsid w:val="00E64D7A"/>
    <w:rsid w:val="00E67B76"/>
    <w:rsid w:val="00E67F44"/>
    <w:rsid w:val="00E71442"/>
    <w:rsid w:val="00E72914"/>
    <w:rsid w:val="00E733E0"/>
    <w:rsid w:val="00E75B37"/>
    <w:rsid w:val="00E7636F"/>
    <w:rsid w:val="00E77F04"/>
    <w:rsid w:val="00E80B88"/>
    <w:rsid w:val="00E81D6C"/>
    <w:rsid w:val="00E85978"/>
    <w:rsid w:val="00E9541C"/>
    <w:rsid w:val="00E9571F"/>
    <w:rsid w:val="00E9691E"/>
    <w:rsid w:val="00EA026D"/>
    <w:rsid w:val="00EA7271"/>
    <w:rsid w:val="00EB1409"/>
    <w:rsid w:val="00EB2757"/>
    <w:rsid w:val="00EB3146"/>
    <w:rsid w:val="00EB5B25"/>
    <w:rsid w:val="00EB6058"/>
    <w:rsid w:val="00EB7A4A"/>
    <w:rsid w:val="00EC31E3"/>
    <w:rsid w:val="00EC364E"/>
    <w:rsid w:val="00EC3910"/>
    <w:rsid w:val="00EC47BD"/>
    <w:rsid w:val="00EC4AA7"/>
    <w:rsid w:val="00EC55AF"/>
    <w:rsid w:val="00EC57CC"/>
    <w:rsid w:val="00EC715D"/>
    <w:rsid w:val="00ED2C5D"/>
    <w:rsid w:val="00ED6A25"/>
    <w:rsid w:val="00ED7951"/>
    <w:rsid w:val="00EE5134"/>
    <w:rsid w:val="00EE5B94"/>
    <w:rsid w:val="00EE6D5A"/>
    <w:rsid w:val="00EE6D68"/>
    <w:rsid w:val="00EE7342"/>
    <w:rsid w:val="00EF031C"/>
    <w:rsid w:val="00EF0402"/>
    <w:rsid w:val="00EF21F4"/>
    <w:rsid w:val="00EF5D80"/>
    <w:rsid w:val="00EF6385"/>
    <w:rsid w:val="00F00486"/>
    <w:rsid w:val="00F00611"/>
    <w:rsid w:val="00F02BB6"/>
    <w:rsid w:val="00F05920"/>
    <w:rsid w:val="00F06376"/>
    <w:rsid w:val="00F10BCB"/>
    <w:rsid w:val="00F12F68"/>
    <w:rsid w:val="00F23E94"/>
    <w:rsid w:val="00F26C7A"/>
    <w:rsid w:val="00F33A0F"/>
    <w:rsid w:val="00F34D2B"/>
    <w:rsid w:val="00F359C3"/>
    <w:rsid w:val="00F37C31"/>
    <w:rsid w:val="00F45CAD"/>
    <w:rsid w:val="00F46253"/>
    <w:rsid w:val="00F46618"/>
    <w:rsid w:val="00F47B48"/>
    <w:rsid w:val="00F51ABA"/>
    <w:rsid w:val="00F52648"/>
    <w:rsid w:val="00F54808"/>
    <w:rsid w:val="00F54C98"/>
    <w:rsid w:val="00F56A9A"/>
    <w:rsid w:val="00F56B6A"/>
    <w:rsid w:val="00F600E5"/>
    <w:rsid w:val="00F65AE7"/>
    <w:rsid w:val="00F65BD3"/>
    <w:rsid w:val="00F666C5"/>
    <w:rsid w:val="00F74029"/>
    <w:rsid w:val="00F81869"/>
    <w:rsid w:val="00F84E76"/>
    <w:rsid w:val="00F86EB4"/>
    <w:rsid w:val="00F93B99"/>
    <w:rsid w:val="00F93ECD"/>
    <w:rsid w:val="00F948D2"/>
    <w:rsid w:val="00F94B27"/>
    <w:rsid w:val="00FA09E9"/>
    <w:rsid w:val="00FA0C63"/>
    <w:rsid w:val="00FA1D9E"/>
    <w:rsid w:val="00FA465F"/>
    <w:rsid w:val="00FA6D62"/>
    <w:rsid w:val="00FA7F88"/>
    <w:rsid w:val="00FB0BA2"/>
    <w:rsid w:val="00FB1A6F"/>
    <w:rsid w:val="00FB2B52"/>
    <w:rsid w:val="00FB3DC8"/>
    <w:rsid w:val="00FB3E97"/>
    <w:rsid w:val="00FC172F"/>
    <w:rsid w:val="00FC394D"/>
    <w:rsid w:val="00FC5329"/>
    <w:rsid w:val="00FC55E3"/>
    <w:rsid w:val="00FC5723"/>
    <w:rsid w:val="00FC57CC"/>
    <w:rsid w:val="00FC7582"/>
    <w:rsid w:val="00FC7CB0"/>
    <w:rsid w:val="00FD0CA9"/>
    <w:rsid w:val="00FD1FED"/>
    <w:rsid w:val="00FD242A"/>
    <w:rsid w:val="00FD424B"/>
    <w:rsid w:val="00FD50E4"/>
    <w:rsid w:val="00FD52E5"/>
    <w:rsid w:val="00FD6315"/>
    <w:rsid w:val="00FD6330"/>
    <w:rsid w:val="00FE058F"/>
    <w:rsid w:val="00FE198A"/>
    <w:rsid w:val="00FE2766"/>
    <w:rsid w:val="00FE3A9F"/>
    <w:rsid w:val="00FE48B7"/>
    <w:rsid w:val="00FE6737"/>
    <w:rsid w:val="00FE77AA"/>
    <w:rsid w:val="00FF1524"/>
    <w:rsid w:val="00FF1C73"/>
    <w:rsid w:val="00FF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09A5"/>
  <w15:chartTrackingRefBased/>
  <w15:docId w15:val="{C3346F1D-B8F4-3541-B442-0395E926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86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AFC"/>
    <w:rPr>
      <w:sz w:val="18"/>
      <w:szCs w:val="18"/>
    </w:rPr>
  </w:style>
  <w:style w:type="character" w:customStyle="1" w:styleId="BalloonTextChar">
    <w:name w:val="Balloon Text Char"/>
    <w:basedOn w:val="DefaultParagraphFont"/>
    <w:link w:val="BalloonText"/>
    <w:uiPriority w:val="99"/>
    <w:semiHidden/>
    <w:rsid w:val="00CA3AFC"/>
    <w:rPr>
      <w:rFonts w:ascii="Times New Roman" w:hAnsi="Times New Roman" w:cs="Times New Roman"/>
      <w:sz w:val="18"/>
      <w:szCs w:val="18"/>
    </w:rPr>
  </w:style>
  <w:style w:type="character" w:styleId="CommentReference">
    <w:name w:val="annotation reference"/>
    <w:basedOn w:val="DefaultParagraphFont"/>
    <w:semiHidden/>
    <w:rsid w:val="003B4588"/>
    <w:rPr>
      <w:sz w:val="16"/>
      <w:szCs w:val="16"/>
    </w:rPr>
  </w:style>
  <w:style w:type="paragraph" w:styleId="CommentText">
    <w:name w:val="annotation text"/>
    <w:basedOn w:val="Normal"/>
    <w:link w:val="CommentTextChar"/>
    <w:semiHidden/>
    <w:rsid w:val="003B4588"/>
    <w:rPr>
      <w:rFonts w:eastAsia="Times New Roman"/>
      <w:sz w:val="20"/>
      <w:szCs w:val="20"/>
    </w:rPr>
  </w:style>
  <w:style w:type="character" w:customStyle="1" w:styleId="CommentTextChar">
    <w:name w:val="Comment Text Char"/>
    <w:basedOn w:val="DefaultParagraphFont"/>
    <w:link w:val="CommentText"/>
    <w:semiHidden/>
    <w:rsid w:val="003B45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71"/>
    <w:rPr>
      <w:rFonts w:eastAsiaTheme="minorHAnsi"/>
      <w:b/>
      <w:bCs/>
    </w:rPr>
  </w:style>
  <w:style w:type="character" w:customStyle="1" w:styleId="CommentSubjectChar">
    <w:name w:val="Comment Subject Char"/>
    <w:basedOn w:val="CommentTextChar"/>
    <w:link w:val="CommentSubject"/>
    <w:uiPriority w:val="99"/>
    <w:semiHidden/>
    <w:rsid w:val="00C25871"/>
    <w:rPr>
      <w:rFonts w:ascii="Times New Roman" w:eastAsia="Times New Roman" w:hAnsi="Times New Roman" w:cs="Times New Roman"/>
      <w:b/>
      <w:bCs/>
      <w:sz w:val="20"/>
      <w:szCs w:val="20"/>
    </w:rPr>
  </w:style>
  <w:style w:type="paragraph" w:styleId="Revision">
    <w:name w:val="Revision"/>
    <w:hidden/>
    <w:uiPriority w:val="99"/>
    <w:semiHidden/>
    <w:rsid w:val="00C25871"/>
    <w:rPr>
      <w:rFonts w:ascii="Times New Roman" w:hAnsi="Times New Roman" w:cs="Times New Roman"/>
    </w:rPr>
  </w:style>
  <w:style w:type="paragraph" w:styleId="Bibliography">
    <w:name w:val="Bibliography"/>
    <w:basedOn w:val="Normal"/>
    <w:next w:val="Normal"/>
    <w:uiPriority w:val="37"/>
    <w:unhideWhenUsed/>
    <w:rsid w:val="00516477"/>
    <w:pPr>
      <w:spacing w:after="240"/>
    </w:pPr>
  </w:style>
  <w:style w:type="paragraph" w:styleId="Footer">
    <w:name w:val="footer"/>
    <w:basedOn w:val="Normal"/>
    <w:link w:val="FooterChar"/>
    <w:uiPriority w:val="99"/>
    <w:unhideWhenUsed/>
    <w:rsid w:val="00601742"/>
    <w:pPr>
      <w:tabs>
        <w:tab w:val="center" w:pos="4680"/>
        <w:tab w:val="right" w:pos="9360"/>
      </w:tabs>
    </w:pPr>
  </w:style>
  <w:style w:type="character" w:customStyle="1" w:styleId="FooterChar">
    <w:name w:val="Footer Char"/>
    <w:basedOn w:val="DefaultParagraphFont"/>
    <w:link w:val="Footer"/>
    <w:uiPriority w:val="99"/>
    <w:rsid w:val="00601742"/>
    <w:rPr>
      <w:rFonts w:ascii="Times New Roman" w:hAnsi="Times New Roman" w:cs="Times New Roman"/>
    </w:rPr>
  </w:style>
  <w:style w:type="character" w:styleId="PageNumber">
    <w:name w:val="page number"/>
    <w:basedOn w:val="DefaultParagraphFont"/>
    <w:uiPriority w:val="99"/>
    <w:semiHidden/>
    <w:unhideWhenUsed/>
    <w:rsid w:val="00601742"/>
  </w:style>
  <w:style w:type="paragraph" w:styleId="Header">
    <w:name w:val="header"/>
    <w:basedOn w:val="Normal"/>
    <w:link w:val="HeaderChar"/>
    <w:uiPriority w:val="99"/>
    <w:unhideWhenUsed/>
    <w:rsid w:val="00601742"/>
    <w:pPr>
      <w:tabs>
        <w:tab w:val="center" w:pos="4680"/>
        <w:tab w:val="right" w:pos="9360"/>
      </w:tabs>
    </w:pPr>
  </w:style>
  <w:style w:type="character" w:customStyle="1" w:styleId="HeaderChar">
    <w:name w:val="Header Char"/>
    <w:basedOn w:val="DefaultParagraphFont"/>
    <w:link w:val="Header"/>
    <w:uiPriority w:val="99"/>
    <w:rsid w:val="00601742"/>
    <w:rPr>
      <w:rFonts w:ascii="Times New Roman" w:hAnsi="Times New Roman" w:cs="Times New Roman"/>
    </w:rPr>
  </w:style>
  <w:style w:type="character" w:styleId="LineNumber">
    <w:name w:val="line number"/>
    <w:basedOn w:val="DefaultParagraphFont"/>
    <w:uiPriority w:val="99"/>
    <w:semiHidden/>
    <w:unhideWhenUsed/>
    <w:rsid w:val="002B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05465">
      <w:bodyDiv w:val="1"/>
      <w:marLeft w:val="0"/>
      <w:marRight w:val="0"/>
      <w:marTop w:val="0"/>
      <w:marBottom w:val="0"/>
      <w:divBdr>
        <w:top w:val="none" w:sz="0" w:space="0" w:color="auto"/>
        <w:left w:val="none" w:sz="0" w:space="0" w:color="auto"/>
        <w:bottom w:val="none" w:sz="0" w:space="0" w:color="auto"/>
        <w:right w:val="none" w:sz="0" w:space="0" w:color="auto"/>
      </w:divBdr>
    </w:div>
    <w:div w:id="319847383">
      <w:bodyDiv w:val="1"/>
      <w:marLeft w:val="0"/>
      <w:marRight w:val="0"/>
      <w:marTop w:val="0"/>
      <w:marBottom w:val="0"/>
      <w:divBdr>
        <w:top w:val="none" w:sz="0" w:space="0" w:color="auto"/>
        <w:left w:val="none" w:sz="0" w:space="0" w:color="auto"/>
        <w:bottom w:val="none" w:sz="0" w:space="0" w:color="auto"/>
        <w:right w:val="none" w:sz="0" w:space="0" w:color="auto"/>
      </w:divBdr>
      <w:divsChild>
        <w:div w:id="1467360162">
          <w:marLeft w:val="0"/>
          <w:marRight w:val="0"/>
          <w:marTop w:val="0"/>
          <w:marBottom w:val="0"/>
          <w:divBdr>
            <w:top w:val="none" w:sz="0" w:space="0" w:color="auto"/>
            <w:left w:val="none" w:sz="0" w:space="0" w:color="auto"/>
            <w:bottom w:val="none" w:sz="0" w:space="0" w:color="auto"/>
            <w:right w:val="none" w:sz="0" w:space="0" w:color="auto"/>
          </w:divBdr>
          <w:divsChild>
            <w:div w:id="6093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9801">
      <w:bodyDiv w:val="1"/>
      <w:marLeft w:val="0"/>
      <w:marRight w:val="0"/>
      <w:marTop w:val="0"/>
      <w:marBottom w:val="0"/>
      <w:divBdr>
        <w:top w:val="none" w:sz="0" w:space="0" w:color="auto"/>
        <w:left w:val="none" w:sz="0" w:space="0" w:color="auto"/>
        <w:bottom w:val="none" w:sz="0" w:space="0" w:color="auto"/>
        <w:right w:val="none" w:sz="0" w:space="0" w:color="auto"/>
      </w:divBdr>
      <w:divsChild>
        <w:div w:id="599337344">
          <w:marLeft w:val="0"/>
          <w:marRight w:val="0"/>
          <w:marTop w:val="0"/>
          <w:marBottom w:val="0"/>
          <w:divBdr>
            <w:top w:val="none" w:sz="0" w:space="0" w:color="auto"/>
            <w:left w:val="none" w:sz="0" w:space="0" w:color="auto"/>
            <w:bottom w:val="none" w:sz="0" w:space="0" w:color="auto"/>
            <w:right w:val="none" w:sz="0" w:space="0" w:color="auto"/>
          </w:divBdr>
          <w:divsChild>
            <w:div w:id="370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5587">
      <w:bodyDiv w:val="1"/>
      <w:marLeft w:val="0"/>
      <w:marRight w:val="0"/>
      <w:marTop w:val="0"/>
      <w:marBottom w:val="0"/>
      <w:divBdr>
        <w:top w:val="none" w:sz="0" w:space="0" w:color="auto"/>
        <w:left w:val="none" w:sz="0" w:space="0" w:color="auto"/>
        <w:bottom w:val="none" w:sz="0" w:space="0" w:color="auto"/>
        <w:right w:val="none" w:sz="0" w:space="0" w:color="auto"/>
      </w:divBdr>
    </w:div>
    <w:div w:id="848566338">
      <w:bodyDiv w:val="1"/>
      <w:marLeft w:val="0"/>
      <w:marRight w:val="0"/>
      <w:marTop w:val="0"/>
      <w:marBottom w:val="0"/>
      <w:divBdr>
        <w:top w:val="none" w:sz="0" w:space="0" w:color="auto"/>
        <w:left w:val="none" w:sz="0" w:space="0" w:color="auto"/>
        <w:bottom w:val="none" w:sz="0" w:space="0" w:color="auto"/>
        <w:right w:val="none" w:sz="0" w:space="0" w:color="auto"/>
      </w:divBdr>
    </w:div>
    <w:div w:id="876813882">
      <w:bodyDiv w:val="1"/>
      <w:marLeft w:val="0"/>
      <w:marRight w:val="0"/>
      <w:marTop w:val="0"/>
      <w:marBottom w:val="0"/>
      <w:divBdr>
        <w:top w:val="none" w:sz="0" w:space="0" w:color="auto"/>
        <w:left w:val="none" w:sz="0" w:space="0" w:color="auto"/>
        <w:bottom w:val="none" w:sz="0" w:space="0" w:color="auto"/>
        <w:right w:val="none" w:sz="0" w:space="0" w:color="auto"/>
      </w:divBdr>
    </w:div>
    <w:div w:id="1084377177">
      <w:bodyDiv w:val="1"/>
      <w:marLeft w:val="0"/>
      <w:marRight w:val="0"/>
      <w:marTop w:val="0"/>
      <w:marBottom w:val="0"/>
      <w:divBdr>
        <w:top w:val="none" w:sz="0" w:space="0" w:color="auto"/>
        <w:left w:val="none" w:sz="0" w:space="0" w:color="auto"/>
        <w:bottom w:val="none" w:sz="0" w:space="0" w:color="auto"/>
        <w:right w:val="none" w:sz="0" w:space="0" w:color="auto"/>
      </w:divBdr>
    </w:div>
    <w:div w:id="1093553115">
      <w:bodyDiv w:val="1"/>
      <w:marLeft w:val="0"/>
      <w:marRight w:val="0"/>
      <w:marTop w:val="0"/>
      <w:marBottom w:val="0"/>
      <w:divBdr>
        <w:top w:val="none" w:sz="0" w:space="0" w:color="auto"/>
        <w:left w:val="none" w:sz="0" w:space="0" w:color="auto"/>
        <w:bottom w:val="none" w:sz="0" w:space="0" w:color="auto"/>
        <w:right w:val="none" w:sz="0" w:space="0" w:color="auto"/>
      </w:divBdr>
      <w:divsChild>
        <w:div w:id="2018268698">
          <w:marLeft w:val="0"/>
          <w:marRight w:val="0"/>
          <w:marTop w:val="0"/>
          <w:marBottom w:val="0"/>
          <w:divBdr>
            <w:top w:val="none" w:sz="0" w:space="0" w:color="auto"/>
            <w:left w:val="none" w:sz="0" w:space="0" w:color="auto"/>
            <w:bottom w:val="none" w:sz="0" w:space="0" w:color="auto"/>
            <w:right w:val="none" w:sz="0" w:space="0" w:color="auto"/>
          </w:divBdr>
          <w:divsChild>
            <w:div w:id="3938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9304">
      <w:bodyDiv w:val="1"/>
      <w:marLeft w:val="0"/>
      <w:marRight w:val="0"/>
      <w:marTop w:val="0"/>
      <w:marBottom w:val="0"/>
      <w:divBdr>
        <w:top w:val="none" w:sz="0" w:space="0" w:color="auto"/>
        <w:left w:val="none" w:sz="0" w:space="0" w:color="auto"/>
        <w:bottom w:val="none" w:sz="0" w:space="0" w:color="auto"/>
        <w:right w:val="none" w:sz="0" w:space="0" w:color="auto"/>
      </w:divBdr>
    </w:div>
    <w:div w:id="1609969076">
      <w:bodyDiv w:val="1"/>
      <w:marLeft w:val="0"/>
      <w:marRight w:val="0"/>
      <w:marTop w:val="0"/>
      <w:marBottom w:val="0"/>
      <w:divBdr>
        <w:top w:val="none" w:sz="0" w:space="0" w:color="auto"/>
        <w:left w:val="none" w:sz="0" w:space="0" w:color="auto"/>
        <w:bottom w:val="none" w:sz="0" w:space="0" w:color="auto"/>
        <w:right w:val="none" w:sz="0" w:space="0" w:color="auto"/>
      </w:divBdr>
      <w:divsChild>
        <w:div w:id="2082288326">
          <w:marLeft w:val="0"/>
          <w:marRight w:val="0"/>
          <w:marTop w:val="0"/>
          <w:marBottom w:val="0"/>
          <w:divBdr>
            <w:top w:val="none" w:sz="0" w:space="0" w:color="auto"/>
            <w:left w:val="none" w:sz="0" w:space="0" w:color="auto"/>
            <w:bottom w:val="none" w:sz="0" w:space="0" w:color="auto"/>
            <w:right w:val="none" w:sz="0" w:space="0" w:color="auto"/>
          </w:divBdr>
          <w:divsChild>
            <w:div w:id="190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558">
      <w:bodyDiv w:val="1"/>
      <w:marLeft w:val="0"/>
      <w:marRight w:val="0"/>
      <w:marTop w:val="0"/>
      <w:marBottom w:val="0"/>
      <w:divBdr>
        <w:top w:val="none" w:sz="0" w:space="0" w:color="auto"/>
        <w:left w:val="none" w:sz="0" w:space="0" w:color="auto"/>
        <w:bottom w:val="none" w:sz="0" w:space="0" w:color="auto"/>
        <w:right w:val="none" w:sz="0" w:space="0" w:color="auto"/>
      </w:divBdr>
    </w:div>
    <w:div w:id="1847403156">
      <w:bodyDiv w:val="1"/>
      <w:marLeft w:val="0"/>
      <w:marRight w:val="0"/>
      <w:marTop w:val="0"/>
      <w:marBottom w:val="0"/>
      <w:divBdr>
        <w:top w:val="none" w:sz="0" w:space="0" w:color="auto"/>
        <w:left w:val="none" w:sz="0" w:space="0" w:color="auto"/>
        <w:bottom w:val="none" w:sz="0" w:space="0" w:color="auto"/>
        <w:right w:val="none" w:sz="0" w:space="0" w:color="auto"/>
      </w:divBdr>
      <w:divsChild>
        <w:div w:id="199637386">
          <w:marLeft w:val="0"/>
          <w:marRight w:val="0"/>
          <w:marTop w:val="0"/>
          <w:marBottom w:val="0"/>
          <w:divBdr>
            <w:top w:val="none" w:sz="0" w:space="0" w:color="auto"/>
            <w:left w:val="none" w:sz="0" w:space="0" w:color="auto"/>
            <w:bottom w:val="none" w:sz="0" w:space="0" w:color="auto"/>
            <w:right w:val="none" w:sz="0" w:space="0" w:color="auto"/>
          </w:divBdr>
          <w:divsChild>
            <w:div w:id="5481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6172">
      <w:bodyDiv w:val="1"/>
      <w:marLeft w:val="0"/>
      <w:marRight w:val="0"/>
      <w:marTop w:val="0"/>
      <w:marBottom w:val="0"/>
      <w:divBdr>
        <w:top w:val="none" w:sz="0" w:space="0" w:color="auto"/>
        <w:left w:val="none" w:sz="0" w:space="0" w:color="auto"/>
        <w:bottom w:val="none" w:sz="0" w:space="0" w:color="auto"/>
        <w:right w:val="none" w:sz="0" w:space="0" w:color="auto"/>
      </w:divBdr>
      <w:divsChild>
        <w:div w:id="1156608221">
          <w:marLeft w:val="0"/>
          <w:marRight w:val="0"/>
          <w:marTop w:val="0"/>
          <w:marBottom w:val="0"/>
          <w:divBdr>
            <w:top w:val="none" w:sz="0" w:space="0" w:color="auto"/>
            <w:left w:val="none" w:sz="0" w:space="0" w:color="auto"/>
            <w:bottom w:val="none" w:sz="0" w:space="0" w:color="auto"/>
            <w:right w:val="none" w:sz="0" w:space="0" w:color="auto"/>
          </w:divBdr>
        </w:div>
      </w:divsChild>
    </w:div>
    <w:div w:id="1940791699">
      <w:bodyDiv w:val="1"/>
      <w:marLeft w:val="0"/>
      <w:marRight w:val="0"/>
      <w:marTop w:val="0"/>
      <w:marBottom w:val="0"/>
      <w:divBdr>
        <w:top w:val="none" w:sz="0" w:space="0" w:color="auto"/>
        <w:left w:val="none" w:sz="0" w:space="0" w:color="auto"/>
        <w:bottom w:val="none" w:sz="0" w:space="0" w:color="auto"/>
        <w:right w:val="none" w:sz="0" w:space="0" w:color="auto"/>
      </w:divBdr>
    </w:div>
    <w:div w:id="1943419801">
      <w:bodyDiv w:val="1"/>
      <w:marLeft w:val="0"/>
      <w:marRight w:val="0"/>
      <w:marTop w:val="0"/>
      <w:marBottom w:val="0"/>
      <w:divBdr>
        <w:top w:val="none" w:sz="0" w:space="0" w:color="auto"/>
        <w:left w:val="none" w:sz="0" w:space="0" w:color="auto"/>
        <w:bottom w:val="none" w:sz="0" w:space="0" w:color="auto"/>
        <w:right w:val="none" w:sz="0" w:space="0" w:color="auto"/>
      </w:divBdr>
    </w:div>
    <w:div w:id="1988632977">
      <w:bodyDiv w:val="1"/>
      <w:marLeft w:val="0"/>
      <w:marRight w:val="0"/>
      <w:marTop w:val="0"/>
      <w:marBottom w:val="0"/>
      <w:divBdr>
        <w:top w:val="none" w:sz="0" w:space="0" w:color="auto"/>
        <w:left w:val="none" w:sz="0" w:space="0" w:color="auto"/>
        <w:bottom w:val="none" w:sz="0" w:space="0" w:color="auto"/>
        <w:right w:val="none" w:sz="0" w:space="0" w:color="auto"/>
      </w:divBdr>
    </w:div>
    <w:div w:id="20994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839C-E3FF-4E46-9898-2F24AD6E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18577</Words>
  <Characters>105892</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Gilmore</dc:creator>
  <cp:keywords/>
  <dc:description/>
  <cp:lastModifiedBy>Mark Bowler</cp:lastModifiedBy>
  <cp:revision>24</cp:revision>
  <dcterms:created xsi:type="dcterms:W3CDTF">2020-09-11T16:36:00Z</dcterms:created>
  <dcterms:modified xsi:type="dcterms:W3CDTF">2020-10-09T09:16:00Z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id="ormufwNU"/&gt;&lt;style id="http://www.zotero.org/styles/journal-of-ethnobiology-and-ethnomedicine"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ies>
</file>